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6C1" w:rsidRDefault="00833B18" w:rsidP="00915BCA">
      <w:pPr>
        <w:pStyle w:val="Ttulo2"/>
        <w:keepNext w:val="0"/>
        <w:keepLines w:val="0"/>
        <w:spacing w:after="80"/>
        <w:jc w:val="right"/>
        <w:rPr>
          <w:b/>
          <w:bCs/>
          <w:sz w:val="22"/>
          <w:szCs w:val="22"/>
          <w:u w:val="single"/>
          <w:lang w:val="es-ES"/>
        </w:rPr>
      </w:pPr>
      <w:r w:rsidRPr="00915BCA">
        <w:rPr>
          <w:b/>
          <w:bCs/>
          <w:sz w:val="22"/>
          <w:szCs w:val="22"/>
          <w:u w:val="single"/>
          <w:lang w:val="es-ES"/>
        </w:rPr>
        <w:t>RESOLUCIÓN</w:t>
      </w:r>
      <w:r w:rsidR="00915BCA">
        <w:rPr>
          <w:b/>
          <w:bCs/>
          <w:sz w:val="22"/>
          <w:szCs w:val="22"/>
          <w:u w:val="single"/>
          <w:lang w:val="es-ES"/>
        </w:rPr>
        <w:t xml:space="preserve"> NÚMERO</w:t>
      </w:r>
      <w:r w:rsidR="00097D5B">
        <w:rPr>
          <w:b/>
          <w:bCs/>
          <w:sz w:val="22"/>
          <w:szCs w:val="22"/>
          <w:u w:val="single"/>
          <w:lang w:val="es-ES"/>
        </w:rPr>
        <w:t xml:space="preserve"> 5.326</w:t>
      </w:r>
    </w:p>
    <w:p w:rsidR="00915BCA" w:rsidRPr="00915BCA" w:rsidRDefault="00915BCA" w:rsidP="00915BCA">
      <w:pPr>
        <w:pStyle w:val="Normal1"/>
        <w:rPr>
          <w:lang w:val="es-ES"/>
        </w:rPr>
      </w:pPr>
    </w:p>
    <w:p w:rsidR="00915BCA" w:rsidRPr="00915BCA" w:rsidRDefault="00915BCA" w:rsidP="008B728C">
      <w:pPr>
        <w:pStyle w:val="Normal1"/>
        <w:spacing w:line="360" w:lineRule="auto"/>
        <w:jc w:val="both"/>
        <w:rPr>
          <w:b/>
          <w:bCs/>
          <w:lang w:val="es-AR"/>
        </w:rPr>
      </w:pPr>
      <w:r w:rsidRPr="00A713E6">
        <w:rPr>
          <w:b/>
          <w:bCs/>
          <w:caps/>
          <w:lang w:val="es-AR"/>
        </w:rPr>
        <w:t>Expediente</w:t>
      </w:r>
      <w:r w:rsidRPr="00915BCA">
        <w:rPr>
          <w:b/>
          <w:bCs/>
          <w:lang w:val="es-AR"/>
        </w:rPr>
        <w:t xml:space="preserve"> Nº 17.203/2026 C.D. </w:t>
      </w:r>
      <w:r w:rsidR="00A713E6">
        <w:rPr>
          <w:b/>
          <w:bCs/>
          <w:lang w:val="es-AR"/>
        </w:rPr>
        <w:t xml:space="preserve">(Archivo Nº 399/2026). </w:t>
      </w:r>
      <w:r w:rsidRPr="00915BCA">
        <w:rPr>
          <w:b/>
          <w:bCs/>
          <w:lang w:val="es-AR"/>
        </w:rPr>
        <w:t>CONCEJALES DEL PARTIDO DE AZUL.</w:t>
      </w:r>
      <w:r w:rsidRPr="00915BCA">
        <w:rPr>
          <w:bCs/>
          <w:lang w:val="es-AR"/>
        </w:rPr>
        <w:t xml:space="preserve"> </w:t>
      </w:r>
      <w:r w:rsidRPr="00915BCA">
        <w:rPr>
          <w:b/>
          <w:bCs/>
          <w:lang w:val="es-AR"/>
        </w:rPr>
        <w:t xml:space="preserve">Elevan proyecto de Resolución referido a declarar de Interés Cultural y Comunitario el libro “Casa </w:t>
      </w:r>
      <w:proofErr w:type="spellStart"/>
      <w:r w:rsidRPr="00915BCA">
        <w:rPr>
          <w:b/>
          <w:bCs/>
          <w:lang w:val="es-AR"/>
        </w:rPr>
        <w:t>Calderaro</w:t>
      </w:r>
      <w:proofErr w:type="spellEnd"/>
      <w:r w:rsidRPr="00915BCA">
        <w:rPr>
          <w:b/>
          <w:bCs/>
          <w:lang w:val="es-AR"/>
        </w:rPr>
        <w:t xml:space="preserve">” del escritor </w:t>
      </w:r>
      <w:proofErr w:type="spellStart"/>
      <w:r w:rsidRPr="00915BCA">
        <w:rPr>
          <w:b/>
          <w:bCs/>
          <w:lang w:val="es-AR"/>
        </w:rPr>
        <w:t>azuleño</w:t>
      </w:r>
      <w:proofErr w:type="spellEnd"/>
      <w:r w:rsidRPr="00915BCA">
        <w:rPr>
          <w:b/>
          <w:bCs/>
          <w:lang w:val="es-AR"/>
        </w:rPr>
        <w:t xml:space="preserve"> Eduardo Agüero </w:t>
      </w:r>
      <w:proofErr w:type="spellStart"/>
      <w:r w:rsidRPr="00915BCA">
        <w:rPr>
          <w:b/>
          <w:bCs/>
          <w:lang w:val="es-AR"/>
        </w:rPr>
        <w:t>Mielhuerry</w:t>
      </w:r>
      <w:proofErr w:type="spellEnd"/>
      <w:r w:rsidRPr="00915BCA">
        <w:rPr>
          <w:b/>
          <w:bCs/>
          <w:lang w:val="es-AR"/>
        </w:rPr>
        <w:t>, que conmemora los 130 años de existencia y valor del legado que construyen en el ejercicio constante de la relojería y la orfebrería por parte de esta tradicional firma local</w:t>
      </w:r>
      <w:r>
        <w:rPr>
          <w:b/>
          <w:bCs/>
          <w:lang w:val="es-AR"/>
        </w:rPr>
        <w:t>.</w:t>
      </w:r>
    </w:p>
    <w:p w:rsidR="00915BCA" w:rsidRDefault="00915BCA" w:rsidP="008B728C">
      <w:pPr>
        <w:pStyle w:val="Normal1"/>
        <w:spacing w:line="360" w:lineRule="auto"/>
        <w:jc w:val="both"/>
        <w:rPr>
          <w:bCs/>
          <w:lang w:val="es-AR"/>
        </w:rPr>
      </w:pPr>
    </w:p>
    <w:p w:rsidR="001556C1" w:rsidRPr="00915BCA" w:rsidRDefault="00833B18" w:rsidP="008B728C">
      <w:pPr>
        <w:pStyle w:val="Normal1"/>
        <w:spacing w:line="360" w:lineRule="auto"/>
        <w:jc w:val="both"/>
        <w:rPr>
          <w:lang w:val="es-ES"/>
        </w:rPr>
      </w:pPr>
      <w:r w:rsidRPr="00915BCA">
        <w:rPr>
          <w:b/>
          <w:bCs/>
          <w:lang w:val="es-ES"/>
        </w:rPr>
        <w:t xml:space="preserve">VISTA </w:t>
      </w:r>
      <w:r w:rsidRPr="00915BCA">
        <w:rPr>
          <w:lang w:val="es-ES"/>
        </w:rPr>
        <w:t xml:space="preserve">la inminente publicación del libro sobre los 130 años de trayectoria de la emblemática firma local “Casa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>”</w:t>
      </w:r>
      <w:r w:rsidR="00A713E6">
        <w:rPr>
          <w:lang w:val="es-ES"/>
        </w:rPr>
        <w:t>,</w:t>
      </w:r>
      <w:r w:rsidRPr="00915BCA">
        <w:rPr>
          <w:lang w:val="es-ES"/>
        </w:rPr>
        <w:t xml:space="preserve"> del escritor </w:t>
      </w:r>
      <w:proofErr w:type="spellStart"/>
      <w:r w:rsidRPr="00915BCA">
        <w:rPr>
          <w:lang w:val="es-ES"/>
        </w:rPr>
        <w:t>azuleño</w:t>
      </w:r>
      <w:proofErr w:type="spellEnd"/>
      <w:r w:rsidRPr="00915BCA">
        <w:rPr>
          <w:lang w:val="es-ES"/>
        </w:rPr>
        <w:t xml:space="preserve"> Eduardo Agüero </w:t>
      </w:r>
      <w:proofErr w:type="spellStart"/>
      <w:r w:rsidRPr="00915BCA">
        <w:rPr>
          <w:lang w:val="es-ES"/>
        </w:rPr>
        <w:t>Mielhuerry</w:t>
      </w:r>
      <w:proofErr w:type="spellEnd"/>
      <w:r w:rsidR="00A713E6">
        <w:rPr>
          <w:lang w:val="es-ES"/>
        </w:rPr>
        <w:t xml:space="preserve">. </w:t>
      </w:r>
    </w:p>
    <w:p w:rsidR="001556C1" w:rsidRPr="00915BCA" w:rsidRDefault="001556C1" w:rsidP="008B728C">
      <w:pPr>
        <w:pStyle w:val="Normal1"/>
        <w:spacing w:line="360" w:lineRule="auto"/>
        <w:jc w:val="both"/>
        <w:rPr>
          <w:b/>
          <w:bCs/>
          <w:lang w:val="es-ES"/>
        </w:rPr>
      </w:pP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b/>
          <w:bCs/>
          <w:lang w:val="es-ES"/>
        </w:rPr>
      </w:pPr>
      <w:r w:rsidRPr="00915BCA">
        <w:rPr>
          <w:b/>
          <w:bCs/>
          <w:lang w:val="es-ES"/>
        </w:rPr>
        <w:t>Y CONSIDERANDO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 xml:space="preserve">Que la obra reconstruye de manera minuciosa el devenir de “Casa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>” desde su fundación el 1</w:t>
      </w:r>
      <w:r w:rsidR="00A713E6">
        <w:rPr>
          <w:lang w:val="es-ES"/>
        </w:rPr>
        <w:t>º</w:t>
      </w:r>
      <w:r w:rsidRPr="00915BCA">
        <w:rPr>
          <w:lang w:val="es-ES"/>
        </w:rPr>
        <w:t xml:space="preserve"> de noviembre de 1896, constituyendo un pilar fundamental de la memoria colectiva, la platería, la orfebrería y la</w:t>
      </w:r>
      <w:r w:rsidR="000713E2">
        <w:rPr>
          <w:lang w:val="es-ES"/>
        </w:rPr>
        <w:t xml:space="preserve"> relojería de la ciudad de Azul.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>Que en una Argentina que se consolidaba al compás de las corrientes migratorias y el tendido ferroviario, esta emblemática firma nació del esfuerzo, la precisión y la visión de futuro reflejando la perseverancia de estos inmigrantes.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 xml:space="preserve">Que la “Casa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 xml:space="preserve">” es el comercio más antiguo en funcionamiento de nuestra ciudad, liderado por diferentes generaciones de una misma familia y en el mismo local hace 121 años siendo una de las cinco joyerías aún abiertas </w:t>
      </w:r>
      <w:r w:rsidR="00A713E6">
        <w:rPr>
          <w:lang w:val="es-ES"/>
        </w:rPr>
        <w:t>al público más antigua del país.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 xml:space="preserve">Que los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 xml:space="preserve">, encabezados por </w:t>
      </w:r>
      <w:proofErr w:type="spellStart"/>
      <w:r w:rsidRPr="00915BCA">
        <w:rPr>
          <w:lang w:val="es-ES"/>
        </w:rPr>
        <w:t>Agostino</w:t>
      </w:r>
      <w:proofErr w:type="spellEnd"/>
      <w:r w:rsidRPr="00915BCA">
        <w:rPr>
          <w:lang w:val="es-ES"/>
        </w:rPr>
        <w:t xml:space="preserve"> (Agustín), fueron los articuladores de la primera fábrica de relojes de torre del país y por muchos añ</w:t>
      </w:r>
      <w:r w:rsidR="00A713E6">
        <w:rPr>
          <w:lang w:val="es-ES"/>
        </w:rPr>
        <w:t>os los únicos en América Latina.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 xml:space="preserve">Que desde sus inicios como relojería, joyería y platería, hasta su consolidación como un lugar fundamental para la vida social de Azul, “Casa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 xml:space="preserve">” ha sido testigo silencioso y protagonista activo. En 130 años, por sus mostradores pasaron las alianzas que fundaron hogares, los relojes que midieron vidas enteras de trabajo y los objetos elegidos para celebrar los momentos más sagrados de la sociedad </w:t>
      </w:r>
      <w:proofErr w:type="spellStart"/>
      <w:r w:rsidRPr="00915BCA">
        <w:rPr>
          <w:lang w:val="es-ES"/>
        </w:rPr>
        <w:t>azuleña</w:t>
      </w:r>
      <w:proofErr w:type="spellEnd"/>
      <w:r w:rsidRPr="00915BCA">
        <w:rPr>
          <w:lang w:val="es-ES"/>
        </w:rPr>
        <w:t>.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>Que los comercios que superan el siglo de existencia traspasan la frontera del interés privado para transformarse en organismos vivos, puntos de referencia patrimonial y atractivos de innegable va</w:t>
      </w:r>
      <w:r w:rsidR="00A713E6">
        <w:rPr>
          <w:lang w:val="es-ES"/>
        </w:rPr>
        <w:t>lor turístico-cultural para el partido de Azul.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 xml:space="preserve">Que según revela el libro en los talleres </w:t>
      </w:r>
      <w:proofErr w:type="spellStart"/>
      <w:r w:rsidRPr="00915BCA">
        <w:rPr>
          <w:lang w:val="es-ES"/>
        </w:rPr>
        <w:t>azuleños</w:t>
      </w:r>
      <w:proofErr w:type="spellEnd"/>
      <w:r w:rsidRPr="00915BCA">
        <w:rPr>
          <w:lang w:val="es-ES"/>
        </w:rPr>
        <w:t xml:space="preserve"> de “Casa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>”</w:t>
      </w:r>
      <w:r w:rsidR="004C3197">
        <w:rPr>
          <w:lang w:val="es-ES"/>
        </w:rPr>
        <w:t>,</w:t>
      </w:r>
      <w:r w:rsidRPr="00915BCA">
        <w:rPr>
          <w:lang w:val="es-ES"/>
        </w:rPr>
        <w:t xml:space="preserve"> se construyeron relojes que se instalaron en diversas provincias de Argentina y en varias iglesias de Italia; y en él, no solo se rinde homenaje al esfuerzo de una estirpe de artesanos y comerciantes, sino también al patrimonio cultural de Azul, entendiendo que sus páginas pretenden ser testimonio vivo de los engranajes invisibles que conforman el complejo mecanismo de una comunidad. </w:t>
      </w:r>
    </w:p>
    <w:p w:rsidR="001556C1" w:rsidRPr="00915BCA" w:rsidRDefault="00A713E6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>
        <w:rPr>
          <w:lang w:val="es-ES"/>
        </w:rPr>
        <w:t>Que el autor,</w:t>
      </w:r>
      <w:r w:rsidR="00833B18" w:rsidRPr="00915BCA">
        <w:rPr>
          <w:lang w:val="es-ES"/>
        </w:rPr>
        <w:t xml:space="preserve"> Eduardo Agüero </w:t>
      </w:r>
      <w:proofErr w:type="spellStart"/>
      <w:r w:rsidR="00833B18" w:rsidRPr="00915BCA">
        <w:rPr>
          <w:lang w:val="es-ES"/>
        </w:rPr>
        <w:t>Mielhuerry</w:t>
      </w:r>
      <w:proofErr w:type="spellEnd"/>
      <w:r w:rsidR="00833B18" w:rsidRPr="00915BCA">
        <w:rPr>
          <w:lang w:val="es-ES"/>
        </w:rPr>
        <w:t xml:space="preserve">, posee una indiscutible trayectoria en la investigación histórica local, habiendo publicado numerosas obras varias de las cuales ya han sido reconocidas por este Concejo Deliberante debido a su aporte educativo y cultural. </w:t>
      </w:r>
    </w:p>
    <w:p w:rsidR="001556C1" w:rsidRPr="00915BCA" w:rsidRDefault="00833B18" w:rsidP="00A713E6">
      <w:pPr>
        <w:pStyle w:val="Normal1"/>
        <w:spacing w:line="360" w:lineRule="auto"/>
        <w:ind w:firstLine="851"/>
        <w:jc w:val="both"/>
        <w:rPr>
          <w:lang w:val="es-ES"/>
        </w:rPr>
      </w:pPr>
      <w:r w:rsidRPr="00915BCA">
        <w:rPr>
          <w:lang w:val="es-ES"/>
        </w:rPr>
        <w:t>Que es función de este Concejo Deliberante respaldar, visibilizar y galardonar la producción escrita local que combate el olvido, resguarda el patrimonio histórico inmaterial y fortalece el sentido de pertenencia comunitario frente al vértigo de la inmediatez contemporánea.</w:t>
      </w:r>
    </w:p>
    <w:p w:rsidR="00915BCA" w:rsidRDefault="00915BCA" w:rsidP="00915BCA">
      <w:pPr>
        <w:spacing w:line="360" w:lineRule="auto"/>
        <w:jc w:val="center"/>
        <w:rPr>
          <w:rFonts w:eastAsia="Calibri"/>
          <w:b/>
          <w:bCs/>
          <w:lang w:val="es-MX" w:eastAsia="en-US"/>
        </w:rPr>
      </w:pPr>
      <w:r w:rsidRPr="00915BCA">
        <w:rPr>
          <w:rFonts w:eastAsia="Calibri"/>
          <w:b/>
          <w:bCs/>
          <w:lang w:val="es-ES" w:eastAsia="en-US"/>
        </w:rPr>
        <w:t>POR ELLO</w:t>
      </w:r>
      <w:r w:rsidRPr="00915BCA">
        <w:rPr>
          <w:rFonts w:eastAsia="Calibri"/>
          <w:b/>
          <w:bCs/>
          <w:lang w:val="es-MX" w:eastAsia="en-US"/>
        </w:rPr>
        <w:t xml:space="preserve">, tratado sobre tablas y aprobado por </w:t>
      </w:r>
      <w:r w:rsidR="00097D5B">
        <w:rPr>
          <w:rFonts w:eastAsia="Calibri"/>
          <w:b/>
          <w:bCs/>
          <w:lang w:val="es-MX" w:eastAsia="en-US"/>
        </w:rPr>
        <w:t>unanimidad de los presentes</w:t>
      </w:r>
    </w:p>
    <w:p w:rsidR="00915BCA" w:rsidRPr="00915BCA" w:rsidRDefault="00915BCA" w:rsidP="00915BCA">
      <w:pPr>
        <w:spacing w:line="360" w:lineRule="auto"/>
        <w:jc w:val="center"/>
        <w:rPr>
          <w:rFonts w:eastAsia="Calibri"/>
          <w:b/>
          <w:bCs/>
          <w:lang w:val="es-MX" w:eastAsia="en-US"/>
        </w:rPr>
      </w:pPr>
      <w:r w:rsidRPr="00915BCA">
        <w:rPr>
          <w:rFonts w:eastAsia="Calibri"/>
          <w:b/>
          <w:bCs/>
          <w:lang w:val="es-MX" w:eastAsia="en-US"/>
        </w:rPr>
        <w:t>EL CONCEJO DELIBERANTE DEL PARTIDO DE AZUL</w:t>
      </w:r>
    </w:p>
    <w:p w:rsidR="008B728C" w:rsidRDefault="00915BCA" w:rsidP="00915BCA">
      <w:pPr>
        <w:pStyle w:val="Normal1"/>
        <w:spacing w:line="360" w:lineRule="auto"/>
        <w:jc w:val="center"/>
        <w:rPr>
          <w:rFonts w:eastAsia="Calibri"/>
          <w:b/>
          <w:bCs/>
          <w:u w:val="single"/>
          <w:lang w:val="es-MX" w:eastAsia="en-US"/>
        </w:rPr>
      </w:pPr>
      <w:r w:rsidRPr="00915BCA">
        <w:rPr>
          <w:rFonts w:eastAsia="Calibri"/>
          <w:b/>
          <w:bCs/>
          <w:u w:val="single"/>
          <w:lang w:val="es-MX" w:eastAsia="en-US"/>
        </w:rPr>
        <w:t>RESUELVE</w:t>
      </w:r>
    </w:p>
    <w:p w:rsidR="00915BCA" w:rsidRPr="00915BCA" w:rsidRDefault="00915BCA" w:rsidP="00915BCA">
      <w:pPr>
        <w:pStyle w:val="Normal1"/>
        <w:spacing w:line="360" w:lineRule="auto"/>
        <w:jc w:val="center"/>
        <w:rPr>
          <w:b/>
          <w:bCs/>
          <w:u w:val="single"/>
          <w:lang w:val="es-ES"/>
        </w:rPr>
      </w:pPr>
    </w:p>
    <w:p w:rsidR="001556C1" w:rsidRPr="00915BCA" w:rsidRDefault="00833B18" w:rsidP="008B728C">
      <w:pPr>
        <w:pStyle w:val="Normal1"/>
        <w:spacing w:line="360" w:lineRule="auto"/>
        <w:jc w:val="both"/>
        <w:rPr>
          <w:lang w:val="es-ES"/>
        </w:rPr>
      </w:pPr>
      <w:r w:rsidRPr="00915BCA">
        <w:rPr>
          <w:b/>
          <w:bCs/>
          <w:u w:val="single"/>
          <w:lang w:val="es-ES"/>
        </w:rPr>
        <w:t>PRIMERO.-</w:t>
      </w:r>
      <w:r w:rsidRPr="00915BCA">
        <w:rPr>
          <w:b/>
          <w:bCs/>
          <w:lang w:val="es-ES"/>
        </w:rPr>
        <w:t xml:space="preserve"> </w:t>
      </w:r>
      <w:r w:rsidRPr="00915BCA">
        <w:rPr>
          <w:lang w:val="es-ES"/>
        </w:rPr>
        <w:t>DECLARAR de Interés Cultural y Comunitario</w:t>
      </w:r>
      <w:r w:rsidR="00A713E6">
        <w:rPr>
          <w:lang w:val="es-ES"/>
        </w:rPr>
        <w:t xml:space="preserve"> del partido de Azul</w:t>
      </w:r>
      <w:r w:rsidRPr="00915BCA">
        <w:rPr>
          <w:lang w:val="es-ES"/>
        </w:rPr>
        <w:t xml:space="preserve"> el libro “Casa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 xml:space="preserve">” del escritor Eduardo Agüero </w:t>
      </w:r>
      <w:proofErr w:type="spellStart"/>
      <w:r w:rsidRPr="00915BCA">
        <w:rPr>
          <w:lang w:val="es-ES"/>
        </w:rPr>
        <w:t>Mielhuerry</w:t>
      </w:r>
      <w:proofErr w:type="spellEnd"/>
      <w:r w:rsidRPr="00915BCA">
        <w:rPr>
          <w:lang w:val="es-ES"/>
        </w:rPr>
        <w:t>, que conmemora los 130 años de existencia</w:t>
      </w:r>
      <w:r w:rsidRPr="00915BCA">
        <w:rPr>
          <w:color w:val="FF0000"/>
          <w:lang w:val="es-ES"/>
        </w:rPr>
        <w:t xml:space="preserve"> </w:t>
      </w:r>
      <w:r w:rsidRPr="00915BCA">
        <w:rPr>
          <w:lang w:val="es-ES"/>
        </w:rPr>
        <w:t>y valor del legado que construyen en el ejercicio constante de la relojería y la orfebrería por parte de esta tradicional firma local.</w:t>
      </w:r>
    </w:p>
    <w:p w:rsidR="008B728C" w:rsidRPr="00915BCA" w:rsidRDefault="008B728C" w:rsidP="008B728C">
      <w:pPr>
        <w:pStyle w:val="Normal1"/>
        <w:spacing w:line="360" w:lineRule="auto"/>
        <w:jc w:val="both"/>
        <w:rPr>
          <w:lang w:val="es-ES"/>
        </w:rPr>
      </w:pPr>
    </w:p>
    <w:p w:rsidR="001556C1" w:rsidRPr="00915BCA" w:rsidRDefault="00833B18" w:rsidP="008B728C">
      <w:pPr>
        <w:pStyle w:val="Normal1"/>
        <w:spacing w:line="360" w:lineRule="auto"/>
        <w:jc w:val="both"/>
        <w:rPr>
          <w:lang w:val="es-ES"/>
        </w:rPr>
      </w:pPr>
      <w:r w:rsidRPr="00915BCA">
        <w:rPr>
          <w:b/>
          <w:bCs/>
          <w:u w:val="single"/>
          <w:lang w:val="es-ES"/>
        </w:rPr>
        <w:t>SEGUNDO.-</w:t>
      </w:r>
      <w:r w:rsidRPr="00915BCA">
        <w:rPr>
          <w:b/>
          <w:bCs/>
          <w:lang w:val="es-ES"/>
        </w:rPr>
        <w:t xml:space="preserve"> </w:t>
      </w:r>
      <w:r w:rsidRPr="00915BCA">
        <w:rPr>
          <w:lang w:val="es-ES"/>
        </w:rPr>
        <w:t xml:space="preserve">RECONOCER el invaluable legado artesanal, comercial e histórico de la familia </w:t>
      </w:r>
      <w:proofErr w:type="spellStart"/>
      <w:r w:rsidRPr="00915BCA">
        <w:rPr>
          <w:lang w:val="es-ES"/>
        </w:rPr>
        <w:t>Calderaro</w:t>
      </w:r>
      <w:proofErr w:type="spellEnd"/>
      <w:r w:rsidR="00A713E6">
        <w:rPr>
          <w:lang w:val="es-ES"/>
        </w:rPr>
        <w:t xml:space="preserve"> en el p</w:t>
      </w:r>
      <w:r w:rsidRPr="00915BCA">
        <w:rPr>
          <w:lang w:val="es-ES"/>
        </w:rPr>
        <w:t xml:space="preserve">artido de Azul, valorando su constancia en el ejercicio de la relojería y la orfebrería durante 130 años de trayectoria ininterrumpida; labor que trasciende lo estrictamente mercantil para constituirse en un patrimonio vivo, como ejemplo de relevo generacional, del quehacer e identidad comunitaria </w:t>
      </w:r>
      <w:proofErr w:type="spellStart"/>
      <w:r w:rsidRPr="00915BCA">
        <w:rPr>
          <w:lang w:val="es-ES"/>
        </w:rPr>
        <w:t>azuleña</w:t>
      </w:r>
      <w:proofErr w:type="spellEnd"/>
      <w:r w:rsidRPr="00915BCA">
        <w:rPr>
          <w:lang w:val="es-ES"/>
        </w:rPr>
        <w:t>.</w:t>
      </w:r>
    </w:p>
    <w:p w:rsidR="008B728C" w:rsidRPr="00915BCA" w:rsidRDefault="008B728C" w:rsidP="008B728C">
      <w:pPr>
        <w:pStyle w:val="Normal1"/>
        <w:spacing w:line="360" w:lineRule="auto"/>
        <w:jc w:val="both"/>
        <w:rPr>
          <w:b/>
          <w:bCs/>
          <w:lang w:val="es-ES"/>
        </w:rPr>
      </w:pPr>
      <w:bookmarkStart w:id="0" w:name="_GoBack"/>
      <w:bookmarkEnd w:id="0"/>
    </w:p>
    <w:p w:rsidR="001556C1" w:rsidRPr="00915BCA" w:rsidRDefault="00833B18" w:rsidP="008B728C">
      <w:pPr>
        <w:pStyle w:val="Normal1"/>
        <w:spacing w:line="360" w:lineRule="auto"/>
        <w:jc w:val="both"/>
        <w:rPr>
          <w:lang w:val="es-ES"/>
        </w:rPr>
      </w:pPr>
      <w:r w:rsidRPr="00915BCA">
        <w:rPr>
          <w:b/>
          <w:bCs/>
          <w:u w:val="single"/>
          <w:lang w:val="es-ES"/>
        </w:rPr>
        <w:t>TERCERO.-</w:t>
      </w:r>
      <w:r w:rsidRPr="00915BCA">
        <w:rPr>
          <w:b/>
          <w:bCs/>
          <w:lang w:val="es-ES"/>
        </w:rPr>
        <w:t xml:space="preserve"> </w:t>
      </w:r>
      <w:r w:rsidRPr="00915BCA">
        <w:rPr>
          <w:lang w:val="es-ES"/>
        </w:rPr>
        <w:t xml:space="preserve">ENTREGAR copia de la presente al escritor Eduardo Agüero </w:t>
      </w:r>
      <w:proofErr w:type="spellStart"/>
      <w:r w:rsidRPr="00915BCA">
        <w:rPr>
          <w:lang w:val="es-ES"/>
        </w:rPr>
        <w:t>Mielhuerry</w:t>
      </w:r>
      <w:proofErr w:type="spellEnd"/>
      <w:r w:rsidRPr="00915BCA">
        <w:rPr>
          <w:lang w:val="es-ES"/>
        </w:rPr>
        <w:t xml:space="preserve"> y a la familia </w:t>
      </w:r>
      <w:proofErr w:type="spellStart"/>
      <w:r w:rsidRPr="00915BCA">
        <w:rPr>
          <w:lang w:val="es-ES"/>
        </w:rPr>
        <w:t>Calderaro</w:t>
      </w:r>
      <w:proofErr w:type="spellEnd"/>
      <w:r w:rsidRPr="00915BCA">
        <w:rPr>
          <w:lang w:val="es-ES"/>
        </w:rPr>
        <w:t xml:space="preserve"> durante la presentación del libro conmemorativo de los 130º años de la</w:t>
      </w:r>
      <w:r w:rsidR="008B728C" w:rsidRPr="00915BCA">
        <w:rPr>
          <w:lang w:val="es-ES"/>
        </w:rPr>
        <w:t xml:space="preserve"> fundación de “Casa </w:t>
      </w:r>
      <w:proofErr w:type="spellStart"/>
      <w:r w:rsidR="008B728C" w:rsidRPr="00915BCA">
        <w:rPr>
          <w:lang w:val="es-ES"/>
        </w:rPr>
        <w:t>Calderaro</w:t>
      </w:r>
      <w:proofErr w:type="spellEnd"/>
      <w:r w:rsidR="008B728C" w:rsidRPr="00915BCA">
        <w:rPr>
          <w:lang w:val="es-ES"/>
        </w:rPr>
        <w:t>”.</w:t>
      </w:r>
    </w:p>
    <w:p w:rsidR="008B728C" w:rsidRPr="00915BCA" w:rsidRDefault="008B728C" w:rsidP="008B728C">
      <w:pPr>
        <w:pStyle w:val="Normal1"/>
        <w:spacing w:line="360" w:lineRule="auto"/>
        <w:jc w:val="both"/>
        <w:rPr>
          <w:lang w:val="es-ES"/>
        </w:rPr>
      </w:pPr>
    </w:p>
    <w:p w:rsidR="00915BCA" w:rsidRPr="00915BCA" w:rsidRDefault="00833B18" w:rsidP="00915BCA">
      <w:pPr>
        <w:spacing w:line="360" w:lineRule="auto"/>
        <w:jc w:val="both"/>
        <w:rPr>
          <w:rFonts w:eastAsia="Calibri"/>
          <w:bCs/>
          <w:lang w:val="es-MX" w:eastAsia="en-US"/>
        </w:rPr>
      </w:pPr>
      <w:r w:rsidRPr="00915BCA">
        <w:rPr>
          <w:b/>
          <w:bCs/>
          <w:u w:val="single"/>
          <w:lang w:val="es-ES"/>
        </w:rPr>
        <w:t>CUARTO.-</w:t>
      </w:r>
      <w:r w:rsidRPr="00915BCA">
        <w:rPr>
          <w:lang w:val="es-ES"/>
        </w:rPr>
        <w:t xml:space="preserve"> </w:t>
      </w:r>
      <w:r w:rsidR="00915BCA" w:rsidRPr="00915BCA">
        <w:rPr>
          <w:rFonts w:eastAsia="Calibri"/>
          <w:bCs/>
          <w:lang w:val="es-MX" w:eastAsia="en-US"/>
        </w:rPr>
        <w:t>COMUNICAR al Departamento Ejecutivo.</w:t>
      </w:r>
    </w:p>
    <w:p w:rsidR="00915BCA" w:rsidRPr="00915BCA" w:rsidRDefault="00915BCA" w:rsidP="00915BCA">
      <w:pPr>
        <w:spacing w:line="360" w:lineRule="auto"/>
        <w:ind w:left="1134"/>
        <w:jc w:val="both"/>
        <w:rPr>
          <w:rFonts w:eastAsia="Calibri"/>
          <w:bCs/>
          <w:lang w:val="es-MX" w:eastAsia="en-US"/>
        </w:rPr>
      </w:pPr>
      <w:r w:rsidRPr="00915BCA">
        <w:rPr>
          <w:rFonts w:eastAsia="Calibri"/>
          <w:bCs/>
          <w:lang w:val="es-MX" w:eastAsia="en-US"/>
        </w:rPr>
        <w:t xml:space="preserve">DADA en la Sala de Sesiones del Concejo Deliberante del partido de Azul, </w:t>
      </w:r>
      <w:r w:rsidR="00E81FEE">
        <w:rPr>
          <w:rFonts w:eastAsia="Calibri"/>
          <w:bCs/>
          <w:lang w:val="es-MX" w:eastAsia="en-US"/>
        </w:rPr>
        <w:t xml:space="preserve">constituida </w:t>
      </w:r>
      <w:r w:rsidRPr="00915BCA">
        <w:rPr>
          <w:rFonts w:eastAsia="Calibri"/>
          <w:bCs/>
          <w:lang w:val="es-MX" w:eastAsia="en-US"/>
        </w:rPr>
        <w:t xml:space="preserve">en la </w:t>
      </w:r>
      <w:r w:rsidR="00E81FEE">
        <w:rPr>
          <w:rFonts w:eastAsia="Calibri"/>
          <w:bCs/>
          <w:lang w:val="es-MX" w:eastAsia="en-US"/>
        </w:rPr>
        <w:t>localidad</w:t>
      </w:r>
      <w:r w:rsidRPr="00915BCA">
        <w:rPr>
          <w:rFonts w:eastAsia="Calibri"/>
          <w:bCs/>
          <w:lang w:val="es-MX" w:eastAsia="en-US"/>
        </w:rPr>
        <w:t xml:space="preserve"> de </w:t>
      </w:r>
      <w:r>
        <w:rPr>
          <w:rFonts w:eastAsia="Calibri"/>
          <w:bCs/>
          <w:lang w:val="es-MX" w:eastAsia="en-US"/>
        </w:rPr>
        <w:t>Cacharí</w:t>
      </w:r>
      <w:r w:rsidRPr="00915BCA">
        <w:rPr>
          <w:rFonts w:eastAsia="Calibri"/>
          <w:bCs/>
          <w:lang w:val="es-MX" w:eastAsia="en-US"/>
        </w:rPr>
        <w:t xml:space="preserve">, provincia de Buenos Aires, a los </w:t>
      </w:r>
      <w:r>
        <w:rPr>
          <w:rFonts w:eastAsia="Calibri"/>
          <w:bCs/>
          <w:lang w:val="es-MX" w:eastAsia="en-US"/>
        </w:rPr>
        <w:t>quince</w:t>
      </w:r>
      <w:r w:rsidRPr="00915BCA">
        <w:rPr>
          <w:rFonts w:eastAsia="Calibri"/>
          <w:bCs/>
          <w:lang w:val="es-MX" w:eastAsia="en-US"/>
        </w:rPr>
        <w:t xml:space="preserve"> días del mes de septiembre de dos mil veintiséis.</w:t>
      </w:r>
    </w:p>
    <w:p w:rsidR="001556C1" w:rsidRPr="008B728C" w:rsidRDefault="00915BCA" w:rsidP="00915BCA">
      <w:pPr>
        <w:pStyle w:val="Normal1"/>
        <w:spacing w:line="360" w:lineRule="auto"/>
        <w:jc w:val="both"/>
      </w:pPr>
      <w:r>
        <w:rPr>
          <w:rFonts w:eastAsia="Calibri"/>
          <w:bCs/>
          <w:lang w:val="es-MX" w:eastAsia="en-US"/>
        </w:rPr>
        <w:t>16</w:t>
      </w:r>
      <w:r w:rsidRPr="00915BCA">
        <w:rPr>
          <w:rFonts w:eastAsia="Calibri"/>
          <w:bCs/>
          <w:lang w:val="es-MX" w:eastAsia="en-US"/>
        </w:rPr>
        <w:t>/09/2026.-uem</w:t>
      </w:r>
      <w:r w:rsidR="00E81FEE">
        <w:rPr>
          <w:rFonts w:eastAsia="Calibri"/>
          <w:bCs/>
          <w:lang w:val="es-MX" w:eastAsia="en-US"/>
        </w:rPr>
        <w:t>.</w:t>
      </w:r>
    </w:p>
    <w:sectPr w:rsidR="001556C1" w:rsidRPr="008B728C" w:rsidSect="00FA40EC">
      <w:pgSz w:w="12240" w:h="20160" w:code="5"/>
      <w:pgMar w:top="3686" w:right="851" w:bottom="2127" w:left="2835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B2B4B0B2-A2D0-443A-82C2-6B4B5651E22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6EB5F4C4-5C5D-4036-9626-52DC88CCAF3C}"/>
    <w:embedBold r:id="rId3" w:fontKey="{377FE156-04BA-47B8-A2EB-6F82F728ED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AED02C1-7A16-49D1-9113-CA24683B82E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mirrorMargin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556C1"/>
    <w:rsid w:val="000713E2"/>
    <w:rsid w:val="00097D5B"/>
    <w:rsid w:val="001556C1"/>
    <w:rsid w:val="004C3197"/>
    <w:rsid w:val="00833B18"/>
    <w:rsid w:val="008B728C"/>
    <w:rsid w:val="00915BCA"/>
    <w:rsid w:val="00A713E6"/>
    <w:rsid w:val="00E81FEE"/>
    <w:rsid w:val="00FA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6A2F186-646F-4D02-AED2-C16436618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1556C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1556C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1556C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1556C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1556C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1556C1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1556C1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rsid w:val="001556C1"/>
  </w:style>
  <w:style w:type="paragraph" w:styleId="Puesto">
    <w:name w:val="Title"/>
    <w:basedOn w:val="Normal1"/>
    <w:next w:val="Normal1"/>
    <w:rsid w:val="001556C1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1556C1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5BCA"/>
    <w:pPr>
      <w:spacing w:line="240" w:lineRule="auto"/>
    </w:pPr>
    <w:rPr>
      <w:rFonts w:ascii="Segoe UI" w:eastAsia="Calibri" w:hAnsi="Segoe UI" w:cs="Segoe UI"/>
      <w:sz w:val="18"/>
      <w:szCs w:val="18"/>
      <w:lang w:val="es-AR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BCA"/>
    <w:rPr>
      <w:rFonts w:ascii="Segoe UI" w:eastAsia="Calibri" w:hAnsi="Segoe UI" w:cs="Segoe UI"/>
      <w:sz w:val="18"/>
      <w:szCs w:val="18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698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7</cp:revision>
  <cp:lastPrinted>2026-09-10T13:38:00Z</cp:lastPrinted>
  <dcterms:created xsi:type="dcterms:W3CDTF">2026-09-10T12:38:00Z</dcterms:created>
  <dcterms:modified xsi:type="dcterms:W3CDTF">2026-09-16T14:21:00Z</dcterms:modified>
</cp:coreProperties>
</file>