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A7C47" w14:textId="2639A8DB" w:rsidR="00BD5699" w:rsidRDefault="005318D6" w:rsidP="00510A11">
      <w:pPr>
        <w:spacing w:line="360" w:lineRule="auto"/>
        <w:ind w:firstLine="2268"/>
        <w:jc w:val="right"/>
        <w:rPr>
          <w:rFonts w:eastAsia="Times New Roman"/>
          <w:b/>
          <w:bCs/>
          <w:u w:val="single"/>
        </w:rPr>
      </w:pPr>
      <w:r w:rsidRPr="00510A11">
        <w:rPr>
          <w:rFonts w:eastAsia="Times New Roman"/>
          <w:b/>
          <w:bCs/>
          <w:u w:val="single"/>
        </w:rPr>
        <w:t>RESOLUCIÓN</w:t>
      </w:r>
      <w:r w:rsidR="00510A11" w:rsidRPr="00510A11">
        <w:rPr>
          <w:rFonts w:eastAsia="Times New Roman"/>
          <w:b/>
          <w:bCs/>
          <w:u w:val="single"/>
        </w:rPr>
        <w:t xml:space="preserve"> NÚMERO</w:t>
      </w:r>
      <w:r w:rsidR="00432BC4">
        <w:rPr>
          <w:rFonts w:eastAsia="Times New Roman"/>
          <w:b/>
          <w:bCs/>
          <w:u w:val="single"/>
        </w:rPr>
        <w:t xml:space="preserve"> 5.241</w:t>
      </w:r>
    </w:p>
    <w:p w14:paraId="641237A0" w14:textId="77777777" w:rsidR="00510A11" w:rsidRPr="00B1248F" w:rsidRDefault="00510A11" w:rsidP="00510A11">
      <w:pPr>
        <w:pStyle w:val="Normal1"/>
        <w:spacing w:line="360" w:lineRule="auto"/>
        <w:jc w:val="center"/>
        <w:rPr>
          <w:b/>
          <w:bCs/>
        </w:rPr>
      </w:pPr>
    </w:p>
    <w:p w14:paraId="29ECF27B" w14:textId="0B0FA0EC" w:rsidR="00510A11" w:rsidRPr="00810848" w:rsidRDefault="00510A11" w:rsidP="00510A11">
      <w:pPr>
        <w:spacing w:line="360" w:lineRule="auto"/>
        <w:jc w:val="both"/>
        <w:rPr>
          <w:b/>
          <w:lang w:val="es-ES"/>
        </w:rPr>
      </w:pPr>
      <w:r w:rsidRPr="00810848">
        <w:rPr>
          <w:b/>
          <w:lang w:val="es-ES"/>
        </w:rPr>
        <w:t>EXPEDIENTE Nº 16.9</w:t>
      </w:r>
      <w:r>
        <w:rPr>
          <w:b/>
          <w:lang w:val="es-ES"/>
        </w:rPr>
        <w:t>92</w:t>
      </w:r>
      <w:r w:rsidRPr="00810848">
        <w:rPr>
          <w:b/>
          <w:lang w:val="es-ES"/>
        </w:rPr>
        <w:t>/2026 C.D. (Archivo N° 1</w:t>
      </w:r>
      <w:r>
        <w:rPr>
          <w:b/>
          <w:lang w:val="es-ES"/>
        </w:rPr>
        <w:t>71</w:t>
      </w:r>
      <w:r w:rsidRPr="00810848">
        <w:rPr>
          <w:b/>
          <w:lang w:val="es-ES"/>
        </w:rPr>
        <w:t xml:space="preserve">/2026). </w:t>
      </w:r>
      <w:r>
        <w:rPr>
          <w:b/>
          <w:lang w:val="es-ES"/>
        </w:rPr>
        <w:t>CONCEJALES INTEGRANTES DEL BLOQUE FUERZA PATRIA</w:t>
      </w:r>
      <w:r w:rsidRPr="00810848">
        <w:rPr>
          <w:b/>
          <w:lang w:val="es-ES"/>
        </w:rPr>
        <w:t>. Eleva</w:t>
      </w:r>
      <w:r>
        <w:rPr>
          <w:b/>
          <w:lang w:val="es-ES"/>
        </w:rPr>
        <w:t>n</w:t>
      </w:r>
      <w:r w:rsidRPr="00810848">
        <w:rPr>
          <w:b/>
          <w:lang w:val="es-ES"/>
        </w:rPr>
        <w:t xml:space="preserve"> proyecto de Resolución referido a </w:t>
      </w:r>
      <w:r>
        <w:rPr>
          <w:b/>
          <w:lang w:val="es-ES"/>
        </w:rPr>
        <w:t>manifestar el repudio y rechazo al proyecto de “Ley de Inviolabilidad de la Propiedad Privada”, que se encuentra en tratamiento en el Congreso de la Nación.</w:t>
      </w:r>
      <w:r w:rsidRPr="00810848">
        <w:rPr>
          <w:b/>
          <w:lang w:val="es-ES"/>
        </w:rPr>
        <w:t xml:space="preserve"> </w:t>
      </w:r>
    </w:p>
    <w:p w14:paraId="3145F69A" w14:textId="77777777" w:rsidR="00510A11" w:rsidRPr="00510A11" w:rsidRDefault="00510A11" w:rsidP="00510A11">
      <w:pPr>
        <w:spacing w:line="360" w:lineRule="auto"/>
        <w:ind w:firstLine="2268"/>
        <w:jc w:val="right"/>
        <w:rPr>
          <w:rFonts w:eastAsia="Times New Roman"/>
          <w:b/>
          <w:bCs/>
          <w:u w:val="single"/>
        </w:rPr>
      </w:pPr>
    </w:p>
    <w:p w14:paraId="48EB04AE" w14:textId="3D13875C" w:rsidR="00BD5699" w:rsidRDefault="0040362B" w:rsidP="00510A11">
      <w:pPr>
        <w:spacing w:line="360" w:lineRule="auto"/>
        <w:jc w:val="both"/>
        <w:rPr>
          <w:rFonts w:eastAsia="Times New Roman"/>
        </w:rPr>
      </w:pPr>
      <w:r w:rsidRPr="00BD5699">
        <w:rPr>
          <w:rFonts w:eastAsia="Times New Roman"/>
          <w:b/>
          <w:bCs/>
        </w:rPr>
        <w:t>VISTO</w:t>
      </w:r>
      <w:r w:rsidR="00BD5699">
        <w:rPr>
          <w:rFonts w:eastAsia="Times New Roman"/>
          <w:b/>
          <w:bCs/>
        </w:rPr>
        <w:t xml:space="preserve"> </w:t>
      </w:r>
      <w:r w:rsidR="00BD5699">
        <w:rPr>
          <w:rFonts w:eastAsia="Times New Roman"/>
        </w:rPr>
        <w:t>q</w:t>
      </w:r>
      <w:r w:rsidRPr="00BD5699">
        <w:rPr>
          <w:rFonts w:eastAsia="Times New Roman"/>
        </w:rPr>
        <w:t>ue se encuentra en tratamiento en el Honorable Senado de la Nación el proyecto</w:t>
      </w:r>
      <w:r w:rsidR="003C3209">
        <w:rPr>
          <w:rFonts w:eastAsia="Times New Roman"/>
        </w:rPr>
        <w:t xml:space="preserve"> de Ley</w:t>
      </w:r>
      <w:r w:rsidRPr="00BD5699">
        <w:rPr>
          <w:rFonts w:eastAsia="Times New Roman"/>
        </w:rPr>
        <w:t xml:space="preserve"> </w:t>
      </w:r>
      <w:r w:rsidR="003C3209">
        <w:rPr>
          <w:rFonts w:eastAsia="Times New Roman"/>
        </w:rPr>
        <w:t>conocido como</w:t>
      </w:r>
      <w:r w:rsidRPr="00BD5699">
        <w:rPr>
          <w:rFonts w:eastAsia="Times New Roman"/>
        </w:rPr>
        <w:t xml:space="preserve"> </w:t>
      </w:r>
      <w:r w:rsidR="00291CBA">
        <w:rPr>
          <w:rFonts w:eastAsia="Times New Roman"/>
        </w:rPr>
        <w:t>“</w:t>
      </w:r>
      <w:r w:rsidR="003C3209" w:rsidRPr="00BD5699">
        <w:rPr>
          <w:rFonts w:eastAsia="Times New Roman"/>
        </w:rPr>
        <w:t>Ley de Inviolabilidad de la Propiedad Privada</w:t>
      </w:r>
      <w:r w:rsidR="00291CBA">
        <w:rPr>
          <w:rFonts w:eastAsia="Times New Roman"/>
        </w:rPr>
        <w:t>”</w:t>
      </w:r>
      <w:r w:rsidR="003C3209">
        <w:rPr>
          <w:rFonts w:eastAsia="Times New Roman"/>
        </w:rPr>
        <w:t xml:space="preserve">, </w:t>
      </w:r>
      <w:proofErr w:type="spellStart"/>
      <w:r w:rsidR="003C3209">
        <w:rPr>
          <w:rFonts w:eastAsia="Times New Roman"/>
        </w:rPr>
        <w:t>Expte</w:t>
      </w:r>
      <w:proofErr w:type="spellEnd"/>
      <w:r w:rsidR="003C3209">
        <w:rPr>
          <w:rFonts w:eastAsia="Times New Roman"/>
        </w:rPr>
        <w:t xml:space="preserve">. </w:t>
      </w:r>
      <w:r w:rsidRPr="00BD5699">
        <w:rPr>
          <w:rFonts w:eastAsia="Times New Roman"/>
        </w:rPr>
        <w:t xml:space="preserve">PE-13/26, el cual incluye modificaciones sustanciales a la Ley de Manejo del Fuego N° 26.815, a la Ley sobre el Régimen de Protección al Dominio Nacional sobre la Propiedad, Posesión o Tenencia de las Tierras Rurales N° </w:t>
      </w:r>
      <w:r w:rsidR="003C3209" w:rsidRPr="00BD5699">
        <w:rPr>
          <w:rFonts w:eastAsia="Times New Roman"/>
        </w:rPr>
        <w:t>26.737; a</w:t>
      </w:r>
      <w:r w:rsidRPr="00BD5699">
        <w:rPr>
          <w:rFonts w:eastAsia="Times New Roman"/>
        </w:rPr>
        <w:t xml:space="preserve"> la Ley del Régimen de Regularización </w:t>
      </w:r>
      <w:proofErr w:type="spellStart"/>
      <w:r w:rsidRPr="00BD5699">
        <w:rPr>
          <w:rFonts w:eastAsia="Times New Roman"/>
        </w:rPr>
        <w:t>Dominial</w:t>
      </w:r>
      <w:proofErr w:type="spellEnd"/>
      <w:r w:rsidRPr="00BD5699">
        <w:rPr>
          <w:rFonts w:eastAsia="Times New Roman"/>
        </w:rPr>
        <w:t xml:space="preserve"> para la Integración Socio Urbana (Ley N° 27.453); al Régimen de expropiaciones (Ley Nº 21.499); a los Códigos Civil y Comercial y Procesal </w:t>
      </w:r>
      <w:r w:rsidR="00BD5699">
        <w:rPr>
          <w:rFonts w:eastAsia="Times New Roman"/>
        </w:rPr>
        <w:t>Civil y Comercial de la Nación.</w:t>
      </w:r>
    </w:p>
    <w:p w14:paraId="719D3E65" w14:textId="77777777" w:rsidR="00510A11" w:rsidRDefault="00510A11" w:rsidP="00510A11">
      <w:pPr>
        <w:spacing w:line="360" w:lineRule="auto"/>
        <w:jc w:val="both"/>
        <w:rPr>
          <w:rFonts w:eastAsia="Times New Roman"/>
          <w:b/>
          <w:bCs/>
        </w:rPr>
      </w:pPr>
    </w:p>
    <w:p w14:paraId="4FB4572B" w14:textId="7118C2E6" w:rsidR="00BD5699" w:rsidRDefault="00BD5699" w:rsidP="00BD5699">
      <w:pPr>
        <w:spacing w:line="360" w:lineRule="auto"/>
        <w:ind w:firstLine="851"/>
        <w:jc w:val="both"/>
        <w:rPr>
          <w:rFonts w:eastAsia="Times New Roman"/>
          <w:b/>
          <w:bCs/>
        </w:rPr>
      </w:pPr>
      <w:r>
        <w:rPr>
          <w:rFonts w:eastAsia="Times New Roman"/>
          <w:b/>
          <w:bCs/>
        </w:rPr>
        <w:t xml:space="preserve">Y </w:t>
      </w:r>
      <w:r w:rsidR="0040362B" w:rsidRPr="00BD5699">
        <w:rPr>
          <w:rFonts w:eastAsia="Times New Roman"/>
          <w:b/>
          <w:bCs/>
        </w:rPr>
        <w:t>CONSIDERANDO</w:t>
      </w:r>
    </w:p>
    <w:p w14:paraId="67C784D0" w14:textId="77777777" w:rsidR="00BD5699" w:rsidRDefault="0040362B" w:rsidP="00BD5699">
      <w:pPr>
        <w:spacing w:line="360" w:lineRule="auto"/>
        <w:ind w:firstLine="851"/>
        <w:jc w:val="both"/>
        <w:rPr>
          <w:rFonts w:eastAsia="Times New Roman"/>
          <w:b/>
          <w:bCs/>
        </w:rPr>
      </w:pPr>
      <w:r w:rsidRPr="00BD5699">
        <w:rPr>
          <w:rFonts w:eastAsia="Times New Roman"/>
        </w:rPr>
        <w:t>Que el proyecto de “Ley de Inviolabilidad de la Propiedad Privada”, es otro proyecto de ley Ómnibus propuesto por el Gobierno de Javier Milei. Según sus palabras busca “</w:t>
      </w:r>
      <w:r w:rsidRPr="00AE4CDE">
        <w:rPr>
          <w:rFonts w:eastAsia="Times New Roman"/>
          <w:i/>
        </w:rPr>
        <w:t>reforzar la protección del derecho de propiedad</w:t>
      </w:r>
      <w:r w:rsidRPr="00BD5699">
        <w:rPr>
          <w:rFonts w:eastAsia="Times New Roman"/>
        </w:rPr>
        <w:t>”, eliminar restricciones que consideran ilegítimas, y promover la seguridad jurídica para incentivar la inversión extranjera. Sin embargo, la iniciativa prioriza la propiedad privada, entendida en su concepción clásica, por encima de otras garantías constitucionales como el debido proceso, el acceso a la vivienda digna y la protección ambiental. Y esto genera un desequilibrio no deseado entre el interés individual y las necesidades colectivas, que decanta en desigualdad e inequidad en el acceso a derechos fundamentales.</w:t>
      </w:r>
    </w:p>
    <w:p w14:paraId="32E9648B" w14:textId="2E773EE4" w:rsidR="00BD5699" w:rsidRDefault="00BD5699" w:rsidP="00BD5699">
      <w:pPr>
        <w:spacing w:line="360" w:lineRule="auto"/>
        <w:ind w:firstLine="851"/>
        <w:jc w:val="both"/>
        <w:rPr>
          <w:rFonts w:eastAsia="Times New Roman"/>
          <w:b/>
          <w:bCs/>
        </w:rPr>
      </w:pPr>
      <w:r>
        <w:rPr>
          <w:rFonts w:eastAsia="Times New Roman"/>
        </w:rPr>
        <w:t>Que, e</w:t>
      </w:r>
      <w:r w:rsidR="0040362B" w:rsidRPr="00BD5699">
        <w:rPr>
          <w:rFonts w:eastAsia="Times New Roman"/>
        </w:rPr>
        <w:t>n este sentido, el proyecto implica una regresión y retorno al concepto clásico de propiedad ya perimido. Tras la reforma constitucional de 1994, la propiedad se interpreta en armonía con su función social y ambiental, buscando equilibrar intereses individuales y colectivos. En contraste, la propuesta del Consejo</w:t>
      </w:r>
      <w:r w:rsidR="00AE4CDE">
        <w:rPr>
          <w:rFonts w:eastAsia="Times New Roman"/>
        </w:rPr>
        <w:t xml:space="preserve"> de</w:t>
      </w:r>
      <w:r w:rsidR="0040362B" w:rsidRPr="00BD5699">
        <w:rPr>
          <w:rFonts w:eastAsia="Times New Roman"/>
        </w:rPr>
        <w:t xml:space="preserve"> Mayo retoma una visión liberal clásica, donde la propiedad se concibe como un derecho absoluto y perpetuo, colocado por encima de </w:t>
      </w:r>
      <w:proofErr w:type="gramStart"/>
      <w:r w:rsidR="0040362B" w:rsidRPr="00BD5699">
        <w:rPr>
          <w:rFonts w:eastAsia="Times New Roman"/>
        </w:rPr>
        <w:t>otras garantías constitucionales y blindado</w:t>
      </w:r>
      <w:proofErr w:type="gramEnd"/>
      <w:r w:rsidR="0040362B" w:rsidRPr="00BD5699">
        <w:rPr>
          <w:rFonts w:eastAsia="Times New Roman"/>
        </w:rPr>
        <w:t xml:space="preserve"> a la acción del Estado. </w:t>
      </w:r>
    </w:p>
    <w:p w14:paraId="7197634E" w14:textId="77777777" w:rsidR="00BD5699" w:rsidRDefault="00BD5699" w:rsidP="00BD5699">
      <w:pPr>
        <w:spacing w:line="360" w:lineRule="auto"/>
        <w:ind w:firstLine="851"/>
        <w:jc w:val="both"/>
        <w:rPr>
          <w:rFonts w:eastAsia="Times New Roman"/>
          <w:b/>
          <w:bCs/>
        </w:rPr>
      </w:pPr>
      <w:r>
        <w:rPr>
          <w:rFonts w:eastAsia="Times New Roman"/>
        </w:rPr>
        <w:lastRenderedPageBreak/>
        <w:t>Que</w:t>
      </w:r>
      <w:r w:rsidR="0040362B" w:rsidRPr="00BD5699">
        <w:rPr>
          <w:rFonts w:eastAsia="Times New Roman"/>
        </w:rPr>
        <w:t xml:space="preserve"> la reforma propuesta a la Ley Nº 21.499 sobre expropiaciones se enmarca en esa visión clásica de la propiedad como derecho absoluto, exclusivo y perpetuo. Pues, desde esa perspectiva, la expropiación aparece como una limitación extrema, al permitir que el Estado prive de la propiedad privada por causa de utilidad pública. Por ello, alineada con políticas de desregulación económica, propone restringir las facultades estatales, imponiendo mayores barreras para llevar adelante actos expropiatorios y paralelamente aumentar las garantías de los sujetos expropiados; en la práctica se traduce en revestir al patrimonio privado, incluso frente a necesidades colectivas.</w:t>
      </w:r>
    </w:p>
    <w:p w14:paraId="787B0065" w14:textId="77777777" w:rsidR="00BD5699" w:rsidRDefault="00BD5699" w:rsidP="00BD5699">
      <w:pPr>
        <w:spacing w:line="360" w:lineRule="auto"/>
        <w:ind w:firstLine="851"/>
        <w:jc w:val="both"/>
        <w:rPr>
          <w:rFonts w:eastAsia="Times New Roman"/>
          <w:b/>
          <w:bCs/>
        </w:rPr>
      </w:pPr>
      <w:r>
        <w:rPr>
          <w:rFonts w:eastAsia="Times New Roman"/>
        </w:rPr>
        <w:t>Que, e</w:t>
      </w:r>
      <w:r w:rsidR="0040362B" w:rsidRPr="00BD5699">
        <w:rPr>
          <w:rFonts w:eastAsia="Times New Roman"/>
        </w:rPr>
        <w:t>ntre las medidas más destacadas, se establece que la declaración de utilidad pública tendrá interpretación restrictiva; se sustituye el “valor objetivo” por el “valor de mercado” lo que incluye la expectativas de rentabilidad futura; se reconoce el lucro cesante como indemnización; se redefine la ocupación temporánea anormal, limitándose a 60 días y requiriendo intervención del Poder Ejecutivo Nacional; y se dispone que no habrá transferencia de dominio sin previo pago íntegro de la indemnización. Estas modificaciones reducen significativamente la capacidad estatal de actuar en beneficio colectivo.</w:t>
      </w:r>
    </w:p>
    <w:p w14:paraId="1481CEAF" w14:textId="77777777" w:rsidR="00BD5699" w:rsidRDefault="00BD5699" w:rsidP="00BD5699">
      <w:pPr>
        <w:spacing w:line="360" w:lineRule="auto"/>
        <w:ind w:firstLine="851"/>
        <w:jc w:val="both"/>
        <w:rPr>
          <w:rFonts w:eastAsia="Times New Roman"/>
          <w:b/>
          <w:bCs/>
        </w:rPr>
      </w:pPr>
      <w:r>
        <w:rPr>
          <w:rFonts w:eastAsia="Times New Roman"/>
        </w:rPr>
        <w:t>Que, e</w:t>
      </w:r>
      <w:r w:rsidR="0040362B" w:rsidRPr="00BD5699">
        <w:rPr>
          <w:rFonts w:eastAsia="Times New Roman"/>
        </w:rPr>
        <w:t>n relación a las modificaciones propuestas a la Ley N° 26.815 de Manejo del Fuego, parte de eliminar los plazos de 60 y 30 años que prohibía modificar el uso del suelo, subdividir, lotear o desarrollar emprendimientos inmobiliarios y agropecuarios en superficies afectadas por incendios.</w:t>
      </w:r>
    </w:p>
    <w:p w14:paraId="467ED289" w14:textId="77777777" w:rsidR="00BD5699" w:rsidRDefault="00BD5699" w:rsidP="00BD5699">
      <w:pPr>
        <w:spacing w:line="360" w:lineRule="auto"/>
        <w:ind w:firstLine="851"/>
        <w:jc w:val="both"/>
        <w:rPr>
          <w:rFonts w:eastAsia="Times New Roman"/>
          <w:b/>
          <w:bCs/>
        </w:rPr>
      </w:pPr>
      <w:r>
        <w:rPr>
          <w:rFonts w:eastAsia="Times New Roman"/>
        </w:rPr>
        <w:t>Que, a</w:t>
      </w:r>
      <w:r w:rsidR="0040362B" w:rsidRPr="00BD5699">
        <w:rPr>
          <w:rFonts w:eastAsia="Times New Roman"/>
        </w:rPr>
        <w:t>simismo, la reforma excluye de manera expresa de esta protección a ecosistemas sumamente sensibles como los humedales y los bosques implantados, y reduce significativamente las barreras legales frente a intereses económicos especulativos.</w:t>
      </w:r>
    </w:p>
    <w:p w14:paraId="369D68AC" w14:textId="77777777" w:rsidR="00BD5699" w:rsidRDefault="00BD5699" w:rsidP="00BD5699">
      <w:pPr>
        <w:spacing w:line="360" w:lineRule="auto"/>
        <w:ind w:firstLine="851"/>
        <w:jc w:val="both"/>
        <w:rPr>
          <w:rFonts w:eastAsia="Times New Roman"/>
          <w:b/>
          <w:bCs/>
        </w:rPr>
      </w:pPr>
      <w:r>
        <w:rPr>
          <w:rFonts w:eastAsia="Times New Roman"/>
        </w:rPr>
        <w:t>Que e</w:t>
      </w:r>
      <w:r w:rsidR="0040362B" w:rsidRPr="00BD5699">
        <w:rPr>
          <w:rFonts w:eastAsia="Times New Roman"/>
        </w:rPr>
        <w:t>specialistas y organizaciones ecologistas advierten que la eliminación de estas restricciones fomenta la provocación de incendios intencionales para habilitar negocios inmobiliarios y agronegocios, lo que acelera la deforestación, destruye la biodiversidad local y agrava severamente la crisis climática.</w:t>
      </w:r>
    </w:p>
    <w:p w14:paraId="4DA94D59" w14:textId="77777777" w:rsidR="00BD5699" w:rsidRDefault="00BD5699" w:rsidP="00BD5699">
      <w:pPr>
        <w:spacing w:line="360" w:lineRule="auto"/>
        <w:ind w:firstLine="851"/>
        <w:jc w:val="both"/>
        <w:rPr>
          <w:rFonts w:eastAsia="Times New Roman"/>
          <w:b/>
          <w:bCs/>
        </w:rPr>
      </w:pPr>
      <w:r>
        <w:rPr>
          <w:rFonts w:eastAsia="Times New Roman"/>
        </w:rPr>
        <w:t>Que, p</w:t>
      </w:r>
      <w:r w:rsidR="0040362B" w:rsidRPr="00BD5699">
        <w:rPr>
          <w:rFonts w:eastAsia="Times New Roman"/>
        </w:rPr>
        <w:t xml:space="preserve">or otra parte, las modificaciones a la Ley N° 26.737 de Tierras Rurales implican un desmantelamiento integral del sistema de regulación, derogando el límite del 15% a la titularidad extranjera a nivel nacional, provincial y local, el 30% de límite a toda titularidad de dominio o posesión de personas físicas o jurídicas de la misma nacionalidad, así como el tope de 1.000 hectáreas por titular. </w:t>
      </w:r>
    </w:p>
    <w:p w14:paraId="3897AD5A" w14:textId="77777777" w:rsidR="00BD5699" w:rsidRDefault="00BD5699" w:rsidP="00BD5699">
      <w:pPr>
        <w:spacing w:line="360" w:lineRule="auto"/>
        <w:ind w:firstLine="851"/>
        <w:jc w:val="both"/>
        <w:rPr>
          <w:rFonts w:eastAsia="Times New Roman"/>
          <w:b/>
          <w:bCs/>
        </w:rPr>
      </w:pPr>
      <w:r>
        <w:rPr>
          <w:rFonts w:eastAsia="Times New Roman"/>
        </w:rPr>
        <w:t>Que d</w:t>
      </w:r>
      <w:r w:rsidR="0040362B" w:rsidRPr="00BD5699">
        <w:rPr>
          <w:rFonts w:eastAsia="Times New Roman"/>
        </w:rPr>
        <w:t xml:space="preserve">icha reforma redefine el concepto de "titularidad extranjera" para que aplique únicamente a Estados extranjeros y sociedades que integren, permitiendo que </w:t>
      </w:r>
      <w:r w:rsidR="0040362B" w:rsidRPr="00BD5699">
        <w:rPr>
          <w:rFonts w:eastAsia="Times New Roman"/>
        </w:rPr>
        <w:lastRenderedPageBreak/>
        <w:t>inversores privados y corporaciones transnacionales adquieran tierras sin restricciones, eliminando además las prohibiciones sobre la compra de territorios que contengan cuerpos de agua relevantes y zonas de frontera.</w:t>
      </w:r>
    </w:p>
    <w:p w14:paraId="5936CF49" w14:textId="77777777" w:rsidR="00BD5699" w:rsidRDefault="00BD5699" w:rsidP="00BD5699">
      <w:pPr>
        <w:spacing w:line="360" w:lineRule="auto"/>
        <w:ind w:firstLine="851"/>
        <w:jc w:val="both"/>
        <w:rPr>
          <w:rFonts w:eastAsia="Times New Roman"/>
          <w:b/>
          <w:bCs/>
        </w:rPr>
      </w:pPr>
      <w:r>
        <w:rPr>
          <w:rFonts w:eastAsia="Times New Roman"/>
        </w:rPr>
        <w:t>Que l</w:t>
      </w:r>
      <w:r w:rsidR="0040362B" w:rsidRPr="00BD5699">
        <w:rPr>
          <w:rFonts w:eastAsia="Times New Roman"/>
        </w:rPr>
        <w:t>a extranjerización ilimitada de la tierra facilita el acaparamiento de bienes comunes estratégicos, como las reservas de agua dulce y minerales, y promueve modelos extractivistas intensivos que agotan los suelos, contaminan las cuencas hídricas y vulneran la soberanía nacional.</w:t>
      </w:r>
    </w:p>
    <w:p w14:paraId="577BF4DD" w14:textId="77777777" w:rsidR="00BD5699" w:rsidRDefault="00BD5699" w:rsidP="00BD5699">
      <w:pPr>
        <w:spacing w:line="360" w:lineRule="auto"/>
        <w:ind w:firstLine="851"/>
        <w:jc w:val="both"/>
        <w:rPr>
          <w:rFonts w:eastAsia="Times New Roman"/>
          <w:b/>
          <w:bCs/>
        </w:rPr>
      </w:pPr>
      <w:r>
        <w:rPr>
          <w:rFonts w:eastAsia="Times New Roman"/>
        </w:rPr>
        <w:t>Que, e</w:t>
      </w:r>
      <w:r w:rsidR="0040362B" w:rsidRPr="00BD5699">
        <w:rPr>
          <w:rFonts w:eastAsia="Times New Roman"/>
        </w:rPr>
        <w:t>n síntesis, desde una mirada en defensa de la soberanía nacional, el proyecto presenta riesgos estructurales importantes pues avanza hacia la extranjerización del territorio pues abre la puerta a que grandes capitales extranjeros concentren tierras estratégicas, al liberarlas a la lógica de mercado global, no ya del interés nacional.</w:t>
      </w:r>
    </w:p>
    <w:p w14:paraId="29B11CED" w14:textId="77777777" w:rsidR="00BD5699" w:rsidRDefault="00BD5699" w:rsidP="00BD5699">
      <w:pPr>
        <w:spacing w:line="360" w:lineRule="auto"/>
        <w:ind w:firstLine="851"/>
        <w:jc w:val="both"/>
        <w:rPr>
          <w:rFonts w:eastAsia="Times New Roman"/>
          <w:b/>
          <w:bCs/>
        </w:rPr>
      </w:pPr>
      <w:r>
        <w:rPr>
          <w:rFonts w:eastAsia="Times New Roman"/>
        </w:rPr>
        <w:t xml:space="preserve">Que también </w:t>
      </w:r>
      <w:r w:rsidR="0040362B" w:rsidRPr="00BD5699">
        <w:rPr>
          <w:rFonts w:eastAsia="Times New Roman"/>
        </w:rPr>
        <w:t xml:space="preserve">profundiza la desigualdad en el acceso a la tierra; mientras se facilita la compra para extranjeros con gran poder económico, se produce un corrimiento del Estado en materia de integración socio urbana y se derogan protecciones clave como la emergencia </w:t>
      </w:r>
      <w:proofErr w:type="spellStart"/>
      <w:r w:rsidR="0040362B" w:rsidRPr="00BD5699">
        <w:rPr>
          <w:rFonts w:eastAsia="Times New Roman"/>
        </w:rPr>
        <w:t>sociourbana</w:t>
      </w:r>
      <w:proofErr w:type="spellEnd"/>
      <w:r w:rsidR="0040362B" w:rsidRPr="00BD5699">
        <w:rPr>
          <w:rFonts w:eastAsia="Times New Roman"/>
        </w:rPr>
        <w:t xml:space="preserve"> y la prohibición de desalojos de barrios populares. Todo esto, en los hechos, no hace </w:t>
      </w:r>
      <w:r w:rsidRPr="00BD5699">
        <w:rPr>
          <w:rFonts w:eastAsia="Times New Roman"/>
        </w:rPr>
        <w:t>más</w:t>
      </w:r>
      <w:r w:rsidR="0040362B" w:rsidRPr="00BD5699">
        <w:rPr>
          <w:rFonts w:eastAsia="Times New Roman"/>
        </w:rPr>
        <w:t xml:space="preserve"> que profundizar la brecha entre quienes habitan el territorio y quienes lo controlan.</w:t>
      </w:r>
    </w:p>
    <w:p w14:paraId="72CD7B04" w14:textId="77777777" w:rsidR="00BD5699" w:rsidRDefault="00BD5699" w:rsidP="00BD5699">
      <w:pPr>
        <w:spacing w:line="360" w:lineRule="auto"/>
        <w:ind w:firstLine="851"/>
        <w:jc w:val="both"/>
        <w:rPr>
          <w:rFonts w:eastAsia="Times New Roman"/>
          <w:b/>
          <w:bCs/>
        </w:rPr>
      </w:pPr>
      <w:r>
        <w:rPr>
          <w:rFonts w:eastAsia="Times New Roman"/>
        </w:rPr>
        <w:t>Que l</w:t>
      </w:r>
      <w:r w:rsidR="0040362B" w:rsidRPr="00BD5699">
        <w:rPr>
          <w:rFonts w:eastAsia="Times New Roman"/>
        </w:rPr>
        <w:t>a reducción y flexibilización de los estándares de protección configura una evidente vulneración del principio de no regresividad ambiental, así como de los principios precautorio y de equidad intergeneracional previstos en la Ley Nº 25.675 “General del Ambiente” y la Ley N° 27.566 "Acuerdo de Escazú".</w:t>
      </w:r>
    </w:p>
    <w:p w14:paraId="71A0CBEF" w14:textId="41CF00C1" w:rsidR="00510A11" w:rsidRPr="00810848" w:rsidRDefault="00510A11" w:rsidP="00510A11">
      <w:pPr>
        <w:spacing w:line="360" w:lineRule="auto"/>
        <w:jc w:val="center"/>
        <w:rPr>
          <w:b/>
          <w:bCs/>
          <w:lang w:val="es-MX"/>
        </w:rPr>
      </w:pPr>
      <w:r w:rsidRPr="00810848">
        <w:rPr>
          <w:b/>
          <w:bCs/>
          <w:lang w:val="es-MX"/>
        </w:rPr>
        <w:t xml:space="preserve">POR ELLO, tratado sobre tablas y aprobado por </w:t>
      </w:r>
      <w:r w:rsidR="00432BC4">
        <w:rPr>
          <w:b/>
          <w:bCs/>
          <w:lang w:val="es-MX"/>
        </w:rPr>
        <w:t>mayoría</w:t>
      </w:r>
    </w:p>
    <w:p w14:paraId="40BC8071" w14:textId="77777777" w:rsidR="00510A11" w:rsidRPr="00810848" w:rsidRDefault="00510A11" w:rsidP="00510A11">
      <w:pPr>
        <w:spacing w:line="360" w:lineRule="auto"/>
        <w:jc w:val="center"/>
        <w:rPr>
          <w:b/>
          <w:bCs/>
          <w:lang w:val="es-MX"/>
        </w:rPr>
      </w:pPr>
      <w:r w:rsidRPr="00810848">
        <w:rPr>
          <w:b/>
          <w:bCs/>
          <w:lang w:val="es-MX"/>
        </w:rPr>
        <w:t>EL CONCEJO DELIBERANTE DEL PARTIDO DE AZUL</w:t>
      </w:r>
    </w:p>
    <w:p w14:paraId="1A984931" w14:textId="77777777" w:rsidR="00510A11" w:rsidRPr="00810848" w:rsidRDefault="00510A11" w:rsidP="00510A11">
      <w:pPr>
        <w:spacing w:line="360" w:lineRule="auto"/>
        <w:jc w:val="center"/>
        <w:rPr>
          <w:b/>
          <w:bCs/>
          <w:u w:val="single"/>
          <w:lang w:val="es-MX"/>
        </w:rPr>
      </w:pPr>
      <w:r w:rsidRPr="00810848">
        <w:rPr>
          <w:b/>
          <w:bCs/>
          <w:u w:val="single"/>
          <w:lang w:val="es-MX"/>
        </w:rPr>
        <w:t>RESUELVE</w:t>
      </w:r>
    </w:p>
    <w:p w14:paraId="386F9F87" w14:textId="77777777" w:rsidR="00510A11" w:rsidRDefault="00510A11" w:rsidP="00BD5699">
      <w:pPr>
        <w:spacing w:line="360" w:lineRule="auto"/>
        <w:jc w:val="both"/>
        <w:rPr>
          <w:rFonts w:eastAsia="Times New Roman"/>
          <w:b/>
          <w:u w:val="single"/>
        </w:rPr>
      </w:pPr>
    </w:p>
    <w:p w14:paraId="00000028" w14:textId="3A71E89E" w:rsidR="00A212DE" w:rsidRDefault="0024730D" w:rsidP="00BD5699">
      <w:pPr>
        <w:spacing w:line="360" w:lineRule="auto"/>
        <w:jc w:val="both"/>
        <w:rPr>
          <w:rFonts w:eastAsia="Times New Roman"/>
        </w:rPr>
      </w:pPr>
      <w:r w:rsidRPr="0024730D">
        <w:rPr>
          <w:rFonts w:eastAsia="Times New Roman"/>
          <w:b/>
          <w:u w:val="single"/>
        </w:rPr>
        <w:t>PRIMERO</w:t>
      </w:r>
      <w:r w:rsidR="0040362B" w:rsidRPr="0024730D">
        <w:rPr>
          <w:rFonts w:eastAsia="Times New Roman"/>
          <w:b/>
          <w:u w:val="single"/>
        </w:rPr>
        <w:t>.-</w:t>
      </w:r>
      <w:r w:rsidR="0040362B" w:rsidRPr="00BD5699">
        <w:rPr>
          <w:rFonts w:eastAsia="Times New Roman"/>
        </w:rPr>
        <w:t xml:space="preserve"> </w:t>
      </w:r>
      <w:r w:rsidR="00BD5699" w:rsidRPr="00BD5699">
        <w:rPr>
          <w:rFonts w:eastAsia="Times New Roman"/>
        </w:rPr>
        <w:t>MANIFESTAR</w:t>
      </w:r>
      <w:r w:rsidR="0056598A">
        <w:rPr>
          <w:rFonts w:eastAsia="Times New Roman"/>
        </w:rPr>
        <w:t xml:space="preserve"> nuestr</w:t>
      </w:r>
      <w:r w:rsidR="00432BC4">
        <w:rPr>
          <w:rFonts w:eastAsia="Times New Roman"/>
        </w:rPr>
        <w:t>a preocupación y</w:t>
      </w:r>
      <w:r w:rsidR="00BD5699" w:rsidRPr="00BD5699">
        <w:rPr>
          <w:rFonts w:eastAsia="Times New Roman"/>
        </w:rPr>
        <w:t xml:space="preserve"> </w:t>
      </w:r>
      <w:r w:rsidR="0040362B" w:rsidRPr="00BD5699">
        <w:rPr>
          <w:rFonts w:eastAsia="Times New Roman"/>
        </w:rPr>
        <w:t xml:space="preserve">rechazo al proyecto </w:t>
      </w:r>
      <w:r w:rsidR="003C3209">
        <w:rPr>
          <w:rFonts w:eastAsia="Times New Roman"/>
        </w:rPr>
        <w:t>conocido como</w:t>
      </w:r>
      <w:r w:rsidR="0040362B" w:rsidRPr="00BD5699">
        <w:rPr>
          <w:rFonts w:eastAsia="Times New Roman"/>
        </w:rPr>
        <w:t xml:space="preserve"> </w:t>
      </w:r>
      <w:r w:rsidR="00BD5699">
        <w:rPr>
          <w:rFonts w:eastAsia="Times New Roman"/>
        </w:rPr>
        <w:t>“</w:t>
      </w:r>
      <w:r w:rsidR="0040362B" w:rsidRPr="00BD5699">
        <w:rPr>
          <w:rFonts w:eastAsia="Times New Roman"/>
        </w:rPr>
        <w:t>L</w:t>
      </w:r>
      <w:r w:rsidR="00BD5699" w:rsidRPr="00BD5699">
        <w:rPr>
          <w:rFonts w:eastAsia="Times New Roman"/>
        </w:rPr>
        <w:t>ey</w:t>
      </w:r>
      <w:r w:rsidR="0040362B" w:rsidRPr="00BD5699">
        <w:rPr>
          <w:rFonts w:eastAsia="Times New Roman"/>
        </w:rPr>
        <w:t xml:space="preserve"> </w:t>
      </w:r>
      <w:r w:rsidR="00BD5699" w:rsidRPr="00BD5699">
        <w:rPr>
          <w:rFonts w:eastAsia="Times New Roman"/>
        </w:rPr>
        <w:t xml:space="preserve">de </w:t>
      </w:r>
      <w:r w:rsidR="0040362B" w:rsidRPr="00BD5699">
        <w:rPr>
          <w:rFonts w:eastAsia="Times New Roman"/>
        </w:rPr>
        <w:t>I</w:t>
      </w:r>
      <w:r w:rsidR="00BD5699" w:rsidRPr="00BD5699">
        <w:rPr>
          <w:rFonts w:eastAsia="Times New Roman"/>
        </w:rPr>
        <w:t>nviolabilidad</w:t>
      </w:r>
      <w:r w:rsidR="0040362B" w:rsidRPr="00BD5699">
        <w:rPr>
          <w:rFonts w:eastAsia="Times New Roman"/>
        </w:rPr>
        <w:t xml:space="preserve"> </w:t>
      </w:r>
      <w:r w:rsidR="00BD5699" w:rsidRPr="00BD5699">
        <w:rPr>
          <w:rFonts w:eastAsia="Times New Roman"/>
        </w:rPr>
        <w:t xml:space="preserve">de la </w:t>
      </w:r>
      <w:r w:rsidR="0040362B" w:rsidRPr="00BD5699">
        <w:rPr>
          <w:rFonts w:eastAsia="Times New Roman"/>
        </w:rPr>
        <w:t>P</w:t>
      </w:r>
      <w:r w:rsidR="00BD5699" w:rsidRPr="00BD5699">
        <w:rPr>
          <w:rFonts w:eastAsia="Times New Roman"/>
        </w:rPr>
        <w:t>ropiedad</w:t>
      </w:r>
      <w:r w:rsidR="0040362B" w:rsidRPr="00BD5699">
        <w:rPr>
          <w:rFonts w:eastAsia="Times New Roman"/>
        </w:rPr>
        <w:t xml:space="preserve"> P</w:t>
      </w:r>
      <w:r w:rsidR="00BD5699" w:rsidRPr="00BD5699">
        <w:rPr>
          <w:rFonts w:eastAsia="Times New Roman"/>
        </w:rPr>
        <w:t>rivada</w:t>
      </w:r>
      <w:r w:rsidR="003C3209">
        <w:rPr>
          <w:rFonts w:eastAsia="Times New Roman"/>
        </w:rPr>
        <w:t>”</w:t>
      </w:r>
      <w:r w:rsidR="0040362B" w:rsidRPr="00BD5699">
        <w:rPr>
          <w:rFonts w:eastAsia="Times New Roman"/>
        </w:rPr>
        <w:t xml:space="preserve"> que actualmente se encuentra en tratamiento en el Honorable Senado de la Nación, </w:t>
      </w:r>
      <w:r w:rsidR="006A1389">
        <w:rPr>
          <w:rFonts w:eastAsia="Times New Roman"/>
        </w:rPr>
        <w:t>expresando el respaldo de este C</w:t>
      </w:r>
      <w:r w:rsidR="0040362B" w:rsidRPr="00BD5699">
        <w:rPr>
          <w:rFonts w:eastAsia="Times New Roman"/>
        </w:rPr>
        <w:t>uerpo a la plena vigencia de la normativa actual que se pretende modificar.</w:t>
      </w:r>
    </w:p>
    <w:p w14:paraId="346BC374" w14:textId="77777777" w:rsidR="00510A11" w:rsidRPr="00BD5699" w:rsidRDefault="00510A11" w:rsidP="00BD5699">
      <w:pPr>
        <w:spacing w:line="360" w:lineRule="auto"/>
        <w:jc w:val="both"/>
        <w:rPr>
          <w:rFonts w:eastAsia="Times New Roman"/>
        </w:rPr>
      </w:pPr>
    </w:p>
    <w:p w14:paraId="00000029" w14:textId="02D505A3" w:rsidR="00A212DE" w:rsidRPr="00BD5699" w:rsidRDefault="0024730D" w:rsidP="00BD5699">
      <w:pPr>
        <w:spacing w:line="360" w:lineRule="auto"/>
        <w:jc w:val="both"/>
        <w:rPr>
          <w:rFonts w:eastAsia="Times New Roman"/>
        </w:rPr>
      </w:pPr>
      <w:r w:rsidRPr="0024730D">
        <w:rPr>
          <w:rFonts w:eastAsia="Times New Roman"/>
          <w:b/>
          <w:u w:val="single"/>
        </w:rPr>
        <w:t>SEGUNDO</w:t>
      </w:r>
      <w:r w:rsidR="0040362B" w:rsidRPr="0024730D">
        <w:rPr>
          <w:rFonts w:eastAsia="Times New Roman"/>
          <w:b/>
          <w:u w:val="single"/>
        </w:rPr>
        <w:t>.-</w:t>
      </w:r>
      <w:r w:rsidR="0040362B" w:rsidRPr="00BD5699">
        <w:rPr>
          <w:rFonts w:eastAsia="Times New Roman"/>
        </w:rPr>
        <w:t xml:space="preserve"> </w:t>
      </w:r>
      <w:r w:rsidR="003C3209" w:rsidRPr="00BD5699">
        <w:rPr>
          <w:rFonts w:eastAsia="Times New Roman"/>
        </w:rPr>
        <w:t xml:space="preserve">EXHORTAR </w:t>
      </w:r>
      <w:r w:rsidR="0040362B" w:rsidRPr="00BD5699">
        <w:rPr>
          <w:rFonts w:eastAsia="Times New Roman"/>
        </w:rPr>
        <w:t>a todos los legisladores nacionales, Diputados y Senadores, a rechazar la aprobación del mencionado proyecto, en resguardo de la soberanía, y de los recursos naturales, y en rechazo a la extranjerización de la tierra, la desigualdad en el acceso a la tierra y el debilitamiento del Estado.</w:t>
      </w:r>
    </w:p>
    <w:p w14:paraId="0000002B" w14:textId="520522EA" w:rsidR="00A212DE" w:rsidRDefault="0024730D" w:rsidP="00BD5699">
      <w:pPr>
        <w:spacing w:line="360" w:lineRule="auto"/>
        <w:jc w:val="both"/>
        <w:rPr>
          <w:rFonts w:eastAsia="Times New Roman"/>
        </w:rPr>
      </w:pPr>
      <w:r w:rsidRPr="0024730D">
        <w:rPr>
          <w:rFonts w:eastAsia="Times New Roman"/>
          <w:b/>
          <w:u w:val="single"/>
        </w:rPr>
        <w:t>TERCERO</w:t>
      </w:r>
      <w:r w:rsidR="0040362B" w:rsidRPr="0024730D">
        <w:rPr>
          <w:rFonts w:eastAsia="Times New Roman"/>
          <w:b/>
          <w:u w:val="single"/>
        </w:rPr>
        <w:t>.-</w:t>
      </w:r>
      <w:r w:rsidR="0040362B" w:rsidRPr="00BD5699">
        <w:rPr>
          <w:rFonts w:eastAsia="Times New Roman"/>
        </w:rPr>
        <w:t xml:space="preserve"> </w:t>
      </w:r>
      <w:r w:rsidR="003C3209" w:rsidRPr="00BD5699">
        <w:rPr>
          <w:rFonts w:eastAsia="Times New Roman"/>
        </w:rPr>
        <w:t xml:space="preserve">REMITIR </w:t>
      </w:r>
      <w:r w:rsidR="0040362B" w:rsidRPr="00BD5699">
        <w:rPr>
          <w:rFonts w:eastAsia="Times New Roman"/>
        </w:rPr>
        <w:t xml:space="preserve">copia de la presente a la Presidencia del Honorable Senado de la Nación, a las Comisiones pertinentes de dicha cámara, a la Presidencia de la Honorable Cámara </w:t>
      </w:r>
      <w:r w:rsidR="003C3209">
        <w:rPr>
          <w:rFonts w:eastAsia="Times New Roman"/>
        </w:rPr>
        <w:t>de Diputados de la Nación, y a ambas cámaras de la Legislatura Bonaerense</w:t>
      </w:r>
      <w:r w:rsidR="0040362B" w:rsidRPr="00BD5699">
        <w:rPr>
          <w:rFonts w:eastAsia="Times New Roman"/>
        </w:rPr>
        <w:t>.</w:t>
      </w:r>
    </w:p>
    <w:p w14:paraId="253608DE" w14:textId="77777777" w:rsidR="00510A11" w:rsidRPr="00BD5699" w:rsidRDefault="00510A11" w:rsidP="00BD5699">
      <w:pPr>
        <w:spacing w:line="360" w:lineRule="auto"/>
        <w:jc w:val="both"/>
        <w:rPr>
          <w:rFonts w:eastAsia="Times New Roman"/>
        </w:rPr>
      </w:pPr>
    </w:p>
    <w:p w14:paraId="7A089301" w14:textId="74251B54" w:rsidR="00510A11" w:rsidRPr="00301158" w:rsidRDefault="0024730D" w:rsidP="00510A11">
      <w:pPr>
        <w:spacing w:line="360" w:lineRule="auto"/>
        <w:rPr>
          <w:bCs/>
          <w:lang w:val="es-MX"/>
        </w:rPr>
      </w:pPr>
      <w:r w:rsidRPr="0024730D">
        <w:rPr>
          <w:rFonts w:eastAsia="Times New Roman"/>
          <w:b/>
          <w:u w:val="single"/>
        </w:rPr>
        <w:t>CUARTO</w:t>
      </w:r>
      <w:r w:rsidR="0040362B" w:rsidRPr="0024730D">
        <w:rPr>
          <w:rFonts w:eastAsia="Times New Roman"/>
          <w:b/>
          <w:u w:val="single"/>
        </w:rPr>
        <w:t>.-</w:t>
      </w:r>
      <w:r w:rsidR="0040362B" w:rsidRPr="003C3209">
        <w:rPr>
          <w:rFonts w:eastAsia="Times New Roman"/>
          <w:b/>
        </w:rPr>
        <w:t xml:space="preserve"> </w:t>
      </w:r>
      <w:r w:rsidR="00510A11" w:rsidRPr="00301158">
        <w:rPr>
          <w:bCs/>
          <w:lang w:val="es-MX"/>
        </w:rPr>
        <w:t>COMUNICAR al Departamento Ejecutivo.</w:t>
      </w:r>
    </w:p>
    <w:p w14:paraId="35FC7DE8" w14:textId="578A1BF6" w:rsidR="00510A11" w:rsidRPr="00301158" w:rsidRDefault="00432BC4" w:rsidP="0024730D">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ind w:left="1134"/>
        <w:jc w:val="both"/>
        <w:rPr>
          <w:bCs/>
          <w:lang w:val="es-MX"/>
        </w:rPr>
      </w:pPr>
      <w:r w:rsidRPr="007807C0">
        <w:t xml:space="preserve">DADA en la Sala de Sesiones del Concejo Deliberante del partido de Azul, </w:t>
      </w:r>
      <w:r>
        <w:t xml:space="preserve">constituida </w:t>
      </w:r>
      <w:r w:rsidRPr="007807C0">
        <w:t xml:space="preserve">en la </w:t>
      </w:r>
      <w:r>
        <w:t>localidad</w:t>
      </w:r>
      <w:r w:rsidR="00510A11" w:rsidRPr="00301158">
        <w:rPr>
          <w:bCs/>
          <w:lang w:val="es-MX"/>
        </w:rPr>
        <w:t xml:space="preserve"> de </w:t>
      </w:r>
      <w:r w:rsidR="00510A11">
        <w:rPr>
          <w:bCs/>
          <w:lang w:val="es-MX"/>
        </w:rPr>
        <w:t>Chillar</w:t>
      </w:r>
      <w:r w:rsidR="00510A11" w:rsidRPr="00301158">
        <w:rPr>
          <w:bCs/>
          <w:lang w:val="es-MX"/>
        </w:rPr>
        <w:t xml:space="preserve">, provincia de Buenos Aires, a los </w:t>
      </w:r>
      <w:r w:rsidR="00510A11">
        <w:rPr>
          <w:bCs/>
          <w:lang w:val="es-MX"/>
        </w:rPr>
        <w:t>cinco</w:t>
      </w:r>
      <w:r w:rsidR="00510A11" w:rsidRPr="00301158">
        <w:rPr>
          <w:bCs/>
          <w:lang w:val="es-MX"/>
        </w:rPr>
        <w:t xml:space="preserve"> días del mes de </w:t>
      </w:r>
      <w:r w:rsidR="00510A11">
        <w:rPr>
          <w:bCs/>
          <w:lang w:val="es-MX"/>
        </w:rPr>
        <w:t>mayo</w:t>
      </w:r>
      <w:r w:rsidR="00510A11" w:rsidRPr="00301158">
        <w:rPr>
          <w:bCs/>
          <w:lang w:val="es-MX"/>
        </w:rPr>
        <w:t xml:space="preserve"> de dos mil veintiséis.</w:t>
      </w:r>
    </w:p>
    <w:p w14:paraId="32770087" w14:textId="2B0BF459" w:rsidR="00510A11" w:rsidRPr="00301158" w:rsidRDefault="00510A11" w:rsidP="00510A11">
      <w:pPr>
        <w:pStyle w:val="Normal1"/>
        <w:pBdr>
          <w:top w:val="none" w:sz="0" w:space="0" w:color="D9D9E3"/>
          <w:left w:val="none" w:sz="0" w:space="0" w:color="D9D9E3"/>
          <w:bottom w:val="none" w:sz="0" w:space="0" w:color="D9D9E3"/>
          <w:right w:val="none" w:sz="0" w:space="0" w:color="D9D9E3"/>
          <w:between w:val="none" w:sz="0" w:space="0" w:color="D9D9E3"/>
        </w:pBdr>
        <w:spacing w:line="360" w:lineRule="auto"/>
        <w:rPr>
          <w:b/>
        </w:rPr>
      </w:pPr>
      <w:r>
        <w:rPr>
          <w:bCs/>
          <w:lang w:val="es-MX"/>
        </w:rPr>
        <w:t>0</w:t>
      </w:r>
      <w:r w:rsidR="00432BC4">
        <w:rPr>
          <w:bCs/>
          <w:lang w:val="es-MX"/>
        </w:rPr>
        <w:t>7</w:t>
      </w:r>
      <w:r w:rsidRPr="00301158">
        <w:rPr>
          <w:bCs/>
          <w:lang w:val="es-MX"/>
        </w:rPr>
        <w:t>/0</w:t>
      </w:r>
      <w:r>
        <w:rPr>
          <w:bCs/>
          <w:lang w:val="es-MX"/>
        </w:rPr>
        <w:t>5</w:t>
      </w:r>
      <w:r w:rsidRPr="00301158">
        <w:rPr>
          <w:bCs/>
          <w:lang w:val="es-MX"/>
        </w:rPr>
        <w:t>/2026.-uem.</w:t>
      </w:r>
      <w:bookmarkStart w:id="0" w:name="_GoBack"/>
      <w:bookmarkEnd w:id="0"/>
    </w:p>
    <w:p w14:paraId="0000002C" w14:textId="24FEEA51" w:rsidR="00A212DE" w:rsidRPr="003C3209" w:rsidRDefault="00A212DE" w:rsidP="00BD5699">
      <w:pPr>
        <w:spacing w:line="360" w:lineRule="auto"/>
        <w:jc w:val="both"/>
        <w:rPr>
          <w:rFonts w:eastAsia="Times New Roman"/>
          <w:b/>
        </w:rPr>
      </w:pPr>
    </w:p>
    <w:sectPr w:rsidR="00A212DE" w:rsidRPr="003C3209" w:rsidSect="00BD5699">
      <w:pgSz w:w="12240" w:h="20160" w:code="5"/>
      <w:pgMar w:top="3686" w:right="851" w:bottom="3119" w:left="2835"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05B15A50-870E-4404-A5F8-BE4732A86132}"/>
  </w:font>
  <w:font w:name="Calibri">
    <w:panose1 w:val="020F0502020204030204"/>
    <w:charset w:val="00"/>
    <w:family w:val="swiss"/>
    <w:pitch w:val="variable"/>
    <w:sig w:usb0="E4002EFF" w:usb1="C000247B" w:usb2="00000009" w:usb3="00000000" w:csb0="000001FF" w:csb1="00000000"/>
    <w:embedRegular r:id="rId2" w:fontKey="{C6383D2E-FEBC-44BA-9859-A4986518C121}"/>
  </w:font>
  <w:font w:name="Cambria">
    <w:panose1 w:val="02040503050406030204"/>
    <w:charset w:val="00"/>
    <w:family w:val="roman"/>
    <w:pitch w:val="variable"/>
    <w:sig w:usb0="E00006FF" w:usb1="420024FF" w:usb2="02000000" w:usb3="00000000" w:csb0="0000019F" w:csb1="00000000"/>
    <w:embedRegular r:id="rId3" w:fontKey="{DC42AB63-8449-4F54-B1F3-4A908D05389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mirrorMargin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2DE"/>
    <w:rsid w:val="0024730D"/>
    <w:rsid w:val="00291CBA"/>
    <w:rsid w:val="003C3209"/>
    <w:rsid w:val="0040362B"/>
    <w:rsid w:val="00432BC4"/>
    <w:rsid w:val="00510A11"/>
    <w:rsid w:val="005318D6"/>
    <w:rsid w:val="0056598A"/>
    <w:rsid w:val="006A1389"/>
    <w:rsid w:val="00A212DE"/>
    <w:rsid w:val="00AE4CDE"/>
    <w:rsid w:val="00BD5699"/>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2838C"/>
  <w15:docId w15:val="{C9E83F54-96C9-FC43-BFB2-863E41E6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uest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56598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598A"/>
    <w:rPr>
      <w:rFonts w:ascii="Segoe UI" w:hAnsi="Segoe UI" w:cs="Segoe UI"/>
      <w:sz w:val="18"/>
      <w:szCs w:val="18"/>
    </w:rPr>
  </w:style>
  <w:style w:type="paragraph" w:customStyle="1" w:styleId="Normal1">
    <w:name w:val="Normal1"/>
    <w:rsid w:val="00510A11"/>
    <w:rPr>
      <w:lang w:val="es-AR"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E0199-45A2-4A8C-B694-1A159D1B2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1195</Words>
  <Characters>6573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fdetodos</dc:creator>
  <cp:lastModifiedBy>usuario</cp:lastModifiedBy>
  <cp:revision>5</cp:revision>
  <cp:lastPrinted>2026-05-07T12:13:00Z</cp:lastPrinted>
  <dcterms:created xsi:type="dcterms:W3CDTF">2026-04-29T15:57:00Z</dcterms:created>
  <dcterms:modified xsi:type="dcterms:W3CDTF">2026-05-07T12:45:00Z</dcterms:modified>
</cp:coreProperties>
</file>