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E2D" w:rsidRPr="00F524D5" w:rsidRDefault="009C6E2D" w:rsidP="009C6E2D">
      <w:pPr>
        <w:pStyle w:val="Normal10"/>
        <w:spacing w:line="360" w:lineRule="auto"/>
        <w:ind w:left="4956"/>
        <w:jc w:val="right"/>
        <w:rPr>
          <w:b/>
          <w:u w:val="single"/>
        </w:rPr>
      </w:pPr>
      <w:r>
        <w:rPr>
          <w:b/>
          <w:u w:val="single"/>
        </w:rPr>
        <w:t>RESOLUCIÓN NÚMERO 5.225</w:t>
      </w:r>
    </w:p>
    <w:p w:rsidR="009C6E2D" w:rsidRPr="00F524D5" w:rsidRDefault="009C6E2D" w:rsidP="009C6E2D">
      <w:pPr>
        <w:pStyle w:val="Normal10"/>
        <w:spacing w:line="360" w:lineRule="auto"/>
        <w:ind w:left="4956"/>
        <w:jc w:val="both"/>
        <w:rPr>
          <w:b/>
        </w:rPr>
      </w:pPr>
    </w:p>
    <w:p w:rsidR="009C6E2D" w:rsidRPr="00F524D5" w:rsidRDefault="009C6E2D" w:rsidP="009C6E2D">
      <w:pPr>
        <w:spacing w:line="360" w:lineRule="auto"/>
        <w:jc w:val="both"/>
        <w:rPr>
          <w:lang w:val="es-ES"/>
        </w:rPr>
      </w:pPr>
      <w:r w:rsidRPr="00F524D5">
        <w:rPr>
          <w:b/>
          <w:lang w:val="es-ES"/>
        </w:rPr>
        <w:t>EXPEDIENTE Nº 16.</w:t>
      </w:r>
      <w:r>
        <w:rPr>
          <w:b/>
          <w:lang w:val="es-ES"/>
        </w:rPr>
        <w:t>913/2026 C.D. (Archivo N° 120</w:t>
      </w:r>
      <w:r w:rsidRPr="00F524D5">
        <w:rPr>
          <w:b/>
          <w:lang w:val="es-ES"/>
        </w:rPr>
        <w:t xml:space="preserve">/2026). </w:t>
      </w:r>
      <w:r w:rsidR="00665EE6">
        <w:rPr>
          <w:b/>
          <w:lang w:val="es-ES"/>
        </w:rPr>
        <w:t>BLOQUE UNIÓN CÍ</w:t>
      </w:r>
      <w:r>
        <w:rPr>
          <w:b/>
          <w:lang w:val="es-ES"/>
        </w:rPr>
        <w:t>VICA RADICAL. Eleva</w:t>
      </w:r>
      <w:r w:rsidRPr="00F524D5">
        <w:rPr>
          <w:b/>
          <w:lang w:val="es-ES"/>
        </w:rPr>
        <w:t xml:space="preserve"> proyecto</w:t>
      </w:r>
      <w:r>
        <w:rPr>
          <w:b/>
          <w:lang w:val="es-ES"/>
        </w:rPr>
        <w:t>s</w:t>
      </w:r>
      <w:r w:rsidRPr="00F524D5">
        <w:rPr>
          <w:b/>
          <w:lang w:val="es-ES"/>
        </w:rPr>
        <w:t xml:space="preserve"> de </w:t>
      </w:r>
      <w:r>
        <w:rPr>
          <w:b/>
          <w:lang w:val="es-ES"/>
        </w:rPr>
        <w:t xml:space="preserve">Ordenanza y </w:t>
      </w:r>
      <w:r w:rsidRPr="00F524D5">
        <w:rPr>
          <w:b/>
          <w:lang w:val="es-ES"/>
        </w:rPr>
        <w:t xml:space="preserve">Resolución </w:t>
      </w:r>
      <w:r>
        <w:rPr>
          <w:b/>
          <w:lang w:val="es-ES"/>
        </w:rPr>
        <w:t>relacionados con la publicación de los haberes de los funcionarios públicos y las declaraciones juradas patrimoniales</w:t>
      </w:r>
      <w:r w:rsidRPr="00F524D5">
        <w:rPr>
          <w:b/>
          <w:lang w:val="es-ES"/>
        </w:rPr>
        <w:t>.</w:t>
      </w:r>
      <w:r>
        <w:rPr>
          <w:b/>
          <w:lang w:val="es-ES"/>
        </w:rPr>
        <w:t xml:space="preserve"> </w:t>
      </w:r>
    </w:p>
    <w:p w:rsidR="00B116C5" w:rsidRPr="009C6E2D" w:rsidRDefault="00B116C5" w:rsidP="009C6E2D">
      <w:pPr>
        <w:pStyle w:val="Normal1"/>
        <w:spacing w:line="360" w:lineRule="auto"/>
        <w:rPr>
          <w:lang w:val="es-ES"/>
        </w:rPr>
      </w:pPr>
    </w:p>
    <w:p w:rsidR="00B116C5" w:rsidRDefault="00CA4DEF" w:rsidP="009C6E2D">
      <w:pPr>
        <w:pStyle w:val="Normal1"/>
        <w:spacing w:line="360" w:lineRule="auto"/>
        <w:jc w:val="both"/>
      </w:pPr>
      <w:r>
        <w:rPr>
          <w:b/>
          <w:bCs/>
        </w:rPr>
        <w:t>VISTAS</w:t>
      </w:r>
      <w:r>
        <w:t xml:space="preserve"> las Resoluciones N° 5.013/2024 y 5.073/2025 del Concejo Deliberante que instan al Departamento Ejecutivo y al Concejo Deliberante, a publicar mensualmente los recibos de haberes de funcionarios y concejales en páginas web y redes sociales oficiales; la Ordenanza N° 4.363/2019, por la cual el Municipio de Azul adhiere al régimen de declaraciones juradas patrimoniales establecido por la Ley Provincial N° 15.000; la Ordenanza N° 4.697/2022 de Acceso a la Información Pública; la Ley Nacional N° 25.188 de Ética en el Ejercicio de la Función Pública; la Ley Nacional N° 27.275 de Acceso a la Información Pública; la Constitución Nacional; la Convención Interamericana contra la Corrupción (Ley N° 24.759); la Convención de las Naciones Unidas contra la Corrupción (Ley N° 26.097); y el artículo 12º de la Constitución de la Provincia de Buenos Aires.</w:t>
      </w:r>
    </w:p>
    <w:p w:rsidR="00B116C5" w:rsidRDefault="00B116C5" w:rsidP="009C6E2D">
      <w:pPr>
        <w:pStyle w:val="Normal1"/>
        <w:spacing w:line="360" w:lineRule="auto"/>
        <w:jc w:val="both"/>
      </w:pPr>
    </w:p>
    <w:p w:rsidR="00B116C5" w:rsidRDefault="00CA4DEF" w:rsidP="009C6E2D">
      <w:pPr>
        <w:pStyle w:val="Normal1"/>
        <w:spacing w:line="360" w:lineRule="auto"/>
        <w:ind w:firstLine="851"/>
        <w:jc w:val="both"/>
        <w:rPr>
          <w:b/>
          <w:bCs/>
        </w:rPr>
      </w:pPr>
      <w:r>
        <w:rPr>
          <w:b/>
          <w:bCs/>
        </w:rPr>
        <w:t>Y CONSIDERANDO</w:t>
      </w:r>
    </w:p>
    <w:p w:rsidR="00101911" w:rsidRDefault="00CA4DEF" w:rsidP="009C6E2D">
      <w:pPr>
        <w:pStyle w:val="Normal1"/>
        <w:spacing w:line="360" w:lineRule="auto"/>
        <w:ind w:firstLine="851"/>
        <w:jc w:val="both"/>
      </w:pPr>
      <w:r>
        <w:t>Que el derecho de acceso a la información pública constituye un derecho fundamental de la ciudadanía y un presupuesto indispensable para el control democrático de los actos de gobierno.</w:t>
      </w:r>
      <w:r>
        <w:tab/>
      </w:r>
    </w:p>
    <w:p w:rsidR="009C6E2D" w:rsidRDefault="00CA4DEF" w:rsidP="009C6E2D">
      <w:pPr>
        <w:pStyle w:val="Normal1"/>
        <w:spacing w:line="360" w:lineRule="auto"/>
        <w:ind w:firstLine="851"/>
        <w:jc w:val="both"/>
      </w:pPr>
      <w:r>
        <w:t>Que el mencionado derecho no se agota en la posibilidad de formular pedidos concretos de información, sino que impone a los órganos estatales acciones positivas de publicidad y difusión de toda información que resulte relevante para el escrutinio ciudadano.</w:t>
      </w:r>
      <w:r>
        <w:br/>
      </w:r>
      <w:r>
        <w:tab/>
        <w:t>Que en materia de administración de recursos públicos, la transparencia no opera como una potestad discrecional del funcionario ni como una mera política de buena voluntad, sino como una exigencia institucional inherente al sistema republicano de gobierno.</w:t>
      </w:r>
    </w:p>
    <w:p w:rsidR="00101911" w:rsidRDefault="00CA4DEF" w:rsidP="009C6E2D">
      <w:pPr>
        <w:pStyle w:val="Normal1"/>
        <w:spacing w:line="360" w:lineRule="auto"/>
        <w:ind w:firstLine="851"/>
        <w:jc w:val="both"/>
      </w:pPr>
      <w:r>
        <w:t>Que toda información relativa al uso, asignación, liquidación y percepción de fondos públicos por parte de quienes ejercen funciones estatales reviste un interés público directo, por encontrarse vinculada al patrimonio común de la comunidad.</w:t>
      </w:r>
      <w:r>
        <w:br/>
      </w:r>
      <w:r>
        <w:tab/>
        <w:t xml:space="preserve">Que la Ley Nacional N° 27.275 tiene por objeto garantizar el efectivo ejercicio </w:t>
      </w:r>
      <w:r>
        <w:lastRenderedPageBreak/>
        <w:t>del derecho de acceso a la información pública, promover la participación ciudadana y afianzar la transparencia de la gestión pública.</w:t>
      </w:r>
    </w:p>
    <w:p w:rsidR="00101911" w:rsidRDefault="00CA4DEF" w:rsidP="009C6E2D">
      <w:pPr>
        <w:pStyle w:val="Normal1"/>
        <w:spacing w:line="360" w:lineRule="auto"/>
        <w:ind w:firstLine="851"/>
        <w:jc w:val="both"/>
      </w:pPr>
      <w:r>
        <w:t>Que la misma norma reconoce a toda persona, sin necesidad de acreditar interés legítimo ni motivar su solicitud, el derecho a requerir y recibir información pública, lo que demuestra que el acceso a la información estatal pertenece al campo de los derechos ciudadanos y no al de las concesiones g</w:t>
      </w:r>
      <w:r w:rsidR="00101911">
        <w:t>raciables de la administración.</w:t>
      </w:r>
    </w:p>
    <w:p w:rsidR="00101911" w:rsidRDefault="00CA4DEF" w:rsidP="009C6E2D">
      <w:pPr>
        <w:pStyle w:val="Normal1"/>
        <w:spacing w:line="360" w:lineRule="auto"/>
        <w:ind w:firstLine="851"/>
        <w:jc w:val="both"/>
      </w:pPr>
      <w:r>
        <w:t>Que, en ese marco, el régimen legal vigente adopta los principios de máxima divulgación, presunción de publicidad y acceso amplio, por lo que toda restricción debe ser excepcional, taxativa y de interpretación estricta.</w:t>
      </w:r>
    </w:p>
    <w:p w:rsidR="00101911" w:rsidRDefault="00CA4DEF" w:rsidP="009C6E2D">
      <w:pPr>
        <w:pStyle w:val="Normal1"/>
        <w:spacing w:line="360" w:lineRule="auto"/>
        <w:ind w:firstLine="851"/>
        <w:jc w:val="both"/>
      </w:pPr>
      <w:r>
        <w:t>Que el artículo 32° de la Ley N° 27.275 consagra expresamente la transparencia activa y dispone que los sujetos obligados deben facilitar la búsqueda y el acceso a la información pública a través de sus páginas oficiales, de manera clara, estructurada y entendible, procurando remover toda ba</w:t>
      </w:r>
      <w:r w:rsidR="00101911">
        <w:t>rrera que obstaculice su acceso.</w:t>
      </w:r>
    </w:p>
    <w:p w:rsidR="00101911" w:rsidRDefault="00CA4DEF" w:rsidP="009C6E2D">
      <w:pPr>
        <w:pStyle w:val="Normal1"/>
        <w:spacing w:line="360" w:lineRule="auto"/>
        <w:ind w:firstLine="851"/>
        <w:jc w:val="both"/>
      </w:pPr>
      <w:r>
        <w:t>Que dicha disposición exige, además, la publicación completa y actualizada de la nómina de autoridades y personal de planta permanente, transitoria u otra modalidad de contratación, así como de las escalas salariales con todos los componentes y s</w:t>
      </w:r>
      <w:r w:rsidR="00101911">
        <w:t>ubcomponentes del salario total.</w:t>
      </w:r>
    </w:p>
    <w:p w:rsidR="00101911" w:rsidRDefault="00CA4DEF" w:rsidP="009C6E2D">
      <w:pPr>
        <w:pStyle w:val="Normal1"/>
        <w:spacing w:line="360" w:lineRule="auto"/>
        <w:ind w:firstLine="851"/>
        <w:jc w:val="both"/>
      </w:pPr>
      <w:r>
        <w:t>Que resulta jurídicamente admisible y razonable que, en el ámbito municipal, se establezca un régimen de publicidad que incluya la publicación periódica de los recibos de haberes de quienes ejercen funciones públicas, en tanto instrumento idóneo para verificar de modo directo, concreto y desagregado la efectiva percepción de fondos públicos.</w:t>
      </w:r>
    </w:p>
    <w:p w:rsidR="00101911" w:rsidRDefault="00CA4DEF" w:rsidP="009C6E2D">
      <w:pPr>
        <w:pStyle w:val="Normal1"/>
        <w:spacing w:line="360" w:lineRule="auto"/>
        <w:ind w:firstLine="851"/>
        <w:jc w:val="both"/>
      </w:pPr>
      <w:r>
        <w:t>Que el artículo 33° de la Ley N° 27.275 prevé expresamente que las obligaciones de transparencia activa allí contenidas se entienden sin perjuicio de otras disposiciones específicas que establezcan un régimen más amplio en materia de publicidad, habilitando a las jurisdicciones locales a robustecer los estándares de transparencia.</w:t>
      </w:r>
      <w:r>
        <w:br/>
      </w:r>
      <w:r>
        <w:tab/>
        <w:t>Que la Ley Nacional N° 25.188 de Ética en el Ejercicio de la Función Pública establece un conjunto de deberes, prohibiciones e incompatibilidades aplicables, sin excepción, a todas las personas que se desempeñen en la función pública en todos sus niveles y jerarquías, en forma permanente o transitoria, remunerada u honoraria.</w:t>
      </w:r>
      <w:r>
        <w:tab/>
        <w:t>Que esa misma ley define la función pública como toda actividad temporal o permanente, remunerada u honoraria, realizada por una persona en nombre del Estado o al servicio del Estado, y exige a sus sujetos actuar con transparencia, fundar sus actos y no restringir información salvo que una norma o el interés público lo exijan.</w:t>
      </w:r>
    </w:p>
    <w:p w:rsidR="00101911" w:rsidRDefault="00CA4DEF" w:rsidP="009C6E2D">
      <w:pPr>
        <w:pStyle w:val="Normal1"/>
        <w:spacing w:line="360" w:lineRule="auto"/>
        <w:ind w:firstLine="851"/>
        <w:jc w:val="both"/>
      </w:pPr>
      <w:r>
        <w:lastRenderedPageBreak/>
        <w:t>Que, por lo tanto, la obligación de rendir cuentas sobre las remuneraciones percibidas no depende de la modalidad de designación, del carácter político o técnico del cargo, ni de la estabilidad o transitoriedad de la función, sino del solo hecho de ejercer una función pública y administrar o percibir recursos estatales.</w:t>
      </w:r>
    </w:p>
    <w:p w:rsidR="00101911" w:rsidRDefault="00CA4DEF" w:rsidP="009C6E2D">
      <w:pPr>
        <w:pStyle w:val="Normal1"/>
        <w:spacing w:line="360" w:lineRule="auto"/>
        <w:ind w:firstLine="851"/>
        <w:jc w:val="both"/>
      </w:pPr>
      <w:r>
        <w:t>Que la Constitución Nacional, en su artículo 1°, establece la forma representativa, republicana y federal de gobierno, lo que implica, como principio del sistema institucional, la publicidad de los actos de gobierno y la consecuente obligación de rendición de cuentas por parte de quienes ejercen funciones públicas.</w:t>
      </w:r>
    </w:p>
    <w:p w:rsidR="00101911" w:rsidRDefault="00CA4DEF" w:rsidP="009C6E2D">
      <w:pPr>
        <w:pStyle w:val="Normal1"/>
        <w:spacing w:line="360" w:lineRule="auto"/>
        <w:ind w:firstLine="851"/>
        <w:jc w:val="both"/>
      </w:pPr>
      <w:r>
        <w:t>Que el artículo 14° de la Constitución Nacional reconoce el derecho de todos los habitantes a peticionar a las autoridades y a publicar sus ideas sin censura previa, derechos que, en su interpretación evolutiva y conforme a los estándares internacionales en materia de derechos humanos, comprenden el acceso a la información pública como condición necesaria para el ejercicio pleno de la libertad de expresión.</w:t>
      </w:r>
      <w:r>
        <w:br/>
      </w:r>
      <w:r>
        <w:tab/>
        <w:t>Que el artículo 42° de la Constitución Nacional garantiza el derecho a una información adecuada y veraz, principio que, aun concebido en el marco de las relaciones de consumo, proyecta sus efectos sobre la actuación estatal, imponiendo estándares de veracidad, claridad y accesibilidad en la información que el Estado produce y difunde.</w:t>
      </w:r>
    </w:p>
    <w:p w:rsidR="00101911" w:rsidRDefault="00CA4DEF" w:rsidP="009C6E2D">
      <w:pPr>
        <w:pStyle w:val="Normal1"/>
        <w:spacing w:line="360" w:lineRule="auto"/>
        <w:ind w:firstLine="851"/>
        <w:jc w:val="both"/>
      </w:pPr>
      <w:r>
        <w:t>Que la Constitución de la Provincia de Buenos Aires reconoce en su artículo 12° el derecho de todas las personas “a la información y a la comunicación”, dotando al acceso a la información pública de jerarquía constitucional en el ámbito provincial.</w:t>
      </w:r>
    </w:p>
    <w:p w:rsidR="00101911" w:rsidRDefault="00CA4DEF" w:rsidP="009C6E2D">
      <w:pPr>
        <w:pStyle w:val="Normal1"/>
        <w:spacing w:line="360" w:lineRule="auto"/>
        <w:ind w:firstLine="851"/>
        <w:jc w:val="both"/>
      </w:pPr>
      <w:r>
        <w:t>Que la administración local de los partidos bonaerenses se encuentra a cargo de una Municipalidad compuesta por un Departamento Ejecutivo y un Departamento Deliberativo, de modo tal que ambos integran orgánicamente el Estado municipal y deben quedar sometidas a iguales estándares de publicidad y rendición de cuentas respecto del uso de fondos públicos.</w:t>
      </w:r>
    </w:p>
    <w:p w:rsidR="00101911" w:rsidRDefault="00CA4DEF" w:rsidP="009C6E2D">
      <w:pPr>
        <w:pStyle w:val="Normal1"/>
        <w:spacing w:line="360" w:lineRule="auto"/>
        <w:ind w:firstLine="851"/>
        <w:jc w:val="both"/>
      </w:pPr>
      <w:r>
        <w:t xml:space="preserve">Que la transparencia remuneratoria de los funcionarios públicos no importa una lesión ilegítima a la intimidad, toda vez que no se trata de información atinente a la esfera privada desvinculada del interés público, sino de datos relativos a erogaciones estatales financiadas con recursos de la comunidad y asignadas a personas </w:t>
      </w:r>
      <w:r w:rsidR="00101911">
        <w:t>que desempeñan cargos públicos.</w:t>
      </w:r>
    </w:p>
    <w:p w:rsidR="00101911" w:rsidRDefault="00CA4DEF" w:rsidP="009C6E2D">
      <w:pPr>
        <w:pStyle w:val="Normal1"/>
        <w:spacing w:line="360" w:lineRule="auto"/>
        <w:ind w:firstLine="851"/>
        <w:jc w:val="both"/>
      </w:pPr>
      <w:r>
        <w:t>Que la Convención Interamericana contra la Corrupción, aprobada por Ley N° 24.759, parte de la premisa de que la corrupción socava la legitimidad de las instituciones públicas, atenta contra la sociedad, el orden moral y la justicia, y debilita</w:t>
      </w:r>
      <w:r w:rsidR="00101911">
        <w:t xml:space="preserve"> la democracia representativa.</w:t>
      </w:r>
    </w:p>
    <w:p w:rsidR="00101911" w:rsidRDefault="00CA4DEF" w:rsidP="009C6E2D">
      <w:pPr>
        <w:pStyle w:val="Normal1"/>
        <w:spacing w:line="360" w:lineRule="auto"/>
        <w:ind w:firstLine="851"/>
        <w:jc w:val="both"/>
      </w:pPr>
      <w:r>
        <w:t>Que su artículo III obliga a los Estados a considerar la adopción de medidas preventivas orientadas a crear, mantener y fortalecer normas de conducta, mecanismos de cumplimiento, sistemas para preservar el uso adecuado de los recursos asignados a los funcionarios públicos y esquemas institucionales que fortalezcan la confianza en la int</w:t>
      </w:r>
      <w:r w:rsidR="00101911">
        <w:t>egridad de la gestión pública.</w:t>
      </w:r>
    </w:p>
    <w:p w:rsidR="00101911" w:rsidRDefault="00CA4DEF" w:rsidP="009C6E2D">
      <w:pPr>
        <w:pStyle w:val="Normal1"/>
        <w:spacing w:line="360" w:lineRule="auto"/>
        <w:ind w:firstLine="851"/>
        <w:jc w:val="both"/>
      </w:pPr>
      <w:r>
        <w:t>Que la Convención de las Naciones Unidas contra la Corrupción, aprobada por Ley N° 26.097, afirma que la corrupción socava las instituciones y los valores de la democracia, la ética, la justicia y el imperio de la ley, comprometiendo el desarro</w:t>
      </w:r>
      <w:r w:rsidR="00101911">
        <w:t>llo sostenible de los Estados.</w:t>
      </w:r>
    </w:p>
    <w:p w:rsidR="00101911" w:rsidRDefault="00CA4DEF" w:rsidP="009C6E2D">
      <w:pPr>
        <w:pStyle w:val="Normal1"/>
        <w:spacing w:line="360" w:lineRule="auto"/>
        <w:ind w:firstLine="851"/>
        <w:jc w:val="both"/>
      </w:pPr>
      <w:r>
        <w:t>Que en su artículo 10° dispone que cada Estado Parte adoptará las medidas necesarias para aumentar la transparencia en su administración pública, incluso en lo relativo a su organización, funcionamiento y proce</w:t>
      </w:r>
      <w:r w:rsidR="00101911">
        <w:t>sos de adopción de decisiones.</w:t>
      </w:r>
    </w:p>
    <w:p w:rsidR="00101911" w:rsidRDefault="00CA4DEF" w:rsidP="009C6E2D">
      <w:pPr>
        <w:pStyle w:val="Normal1"/>
        <w:spacing w:line="360" w:lineRule="auto"/>
        <w:ind w:firstLine="851"/>
        <w:jc w:val="both"/>
      </w:pPr>
      <w:r>
        <w:t>Que, asimismo, en materia de hacienda pública, dicha Convención exige promover la transparencia y la obligación de rendir cuentas, incluyendo la presentación oportuna de información sobre gastos e ingresos públicos, lo que brinda un respaldo normativo directo a la publicidad de las remuneraciones abonadas a funcion</w:t>
      </w:r>
      <w:r w:rsidR="00101911">
        <w:t>arios y autoridades estatales.</w:t>
      </w:r>
    </w:p>
    <w:p w:rsidR="00101911" w:rsidRDefault="00CA4DEF" w:rsidP="009C6E2D">
      <w:pPr>
        <w:pStyle w:val="Normal1"/>
        <w:spacing w:line="360" w:lineRule="auto"/>
        <w:ind w:firstLine="851"/>
        <w:jc w:val="both"/>
      </w:pPr>
      <w:r>
        <w:t>Que la Corte Interamericana de Derechos Humanos ha sostenido, a partir del precedente “Claude Reyes y otros vs. Chile”, que el actuar del Estado debe regirse por los principios de publicidad y transparencia en la gestión pública, precisamente para hacer posible el control democrático de las gestiones estatales por parte de las personas</w:t>
      </w:r>
      <w:r w:rsidR="00101911">
        <w:t xml:space="preserve"> sometidas a su jurisdicción. </w:t>
      </w:r>
    </w:p>
    <w:p w:rsidR="00101911" w:rsidRDefault="00CA4DEF" w:rsidP="009C6E2D">
      <w:pPr>
        <w:pStyle w:val="Normal1"/>
        <w:spacing w:line="360" w:lineRule="auto"/>
        <w:ind w:firstLine="851"/>
        <w:jc w:val="both"/>
      </w:pPr>
      <w:r>
        <w:t>Que el control ciudadano sobre la remuneración de los funcionarios constituye una herramienta concreta de fiscalización democrática, en tanto permite conocer no sólo las escalas abstractas de cada cargo, sino la efectiva liquidación mensual, extremo relevante para evaluar la administración de los recursos municipales.</w:t>
      </w:r>
    </w:p>
    <w:p w:rsidR="00101911" w:rsidRDefault="00CA4DEF" w:rsidP="009C6E2D">
      <w:pPr>
        <w:pStyle w:val="Normal1"/>
        <w:spacing w:line="360" w:lineRule="auto"/>
        <w:ind w:firstLine="851"/>
        <w:jc w:val="both"/>
      </w:pPr>
      <w:r>
        <w:t>Que la publicación de los recibos de haberes, a diferencia de una mera planilla genérica o resumen consolidado, garantiza una forma de publicidad verificable, íntegra y no editada de la información salarial, reduciendo márgenes de discrecionalidad, opacid</w:t>
      </w:r>
      <w:r w:rsidR="00101911">
        <w:t>ad y manipulación informativa.</w:t>
      </w:r>
    </w:p>
    <w:p w:rsidR="00101911" w:rsidRDefault="00CA4DEF" w:rsidP="009C6E2D">
      <w:pPr>
        <w:pStyle w:val="Normal1"/>
        <w:spacing w:line="360" w:lineRule="auto"/>
        <w:ind w:firstLine="851"/>
        <w:jc w:val="both"/>
      </w:pPr>
      <w:r>
        <w:t>Que la publicidad sistemática de los haberes fortalece la igualdad ante la información pública, evita tratamientos asimétricos entre órganos del Estado municipal y consolida estándares obje</w:t>
      </w:r>
      <w:r w:rsidR="00101911">
        <w:t>tivos de rendición de cuentas.</w:t>
      </w:r>
    </w:p>
    <w:p w:rsidR="00101911" w:rsidRDefault="00CA4DEF" w:rsidP="009C6E2D">
      <w:pPr>
        <w:pStyle w:val="Normal1"/>
        <w:spacing w:line="360" w:lineRule="auto"/>
        <w:ind w:firstLine="851"/>
        <w:jc w:val="both"/>
      </w:pPr>
      <w:r>
        <w:t>Que la institucionalización de esta obligación mediante ordenanza resulta jurídicamente superior a la sola existencia de exhortaciones, recomendaciones o compromisos políticos, transformando un deber ético y republicano en una obligación normativa co</w:t>
      </w:r>
      <w:r w:rsidR="00101911">
        <w:t>ncreta, exigible y permanente.</w:t>
      </w:r>
    </w:p>
    <w:p w:rsidR="00101911" w:rsidRDefault="00CA4DEF" w:rsidP="009C6E2D">
      <w:pPr>
        <w:pStyle w:val="Normal1"/>
        <w:spacing w:line="360" w:lineRule="auto"/>
        <w:ind w:firstLine="851"/>
        <w:jc w:val="both"/>
        <w:rPr>
          <w:u w:val="single"/>
        </w:rPr>
      </w:pPr>
      <w:r>
        <w:t>Que, conforme surge de las Resoluciones N° 5.013/2024 y N° 5.073/2025 de este Cuerpo, se instó a la publicación mensual de los recibos de haberes de los funcionarios del Departamento Ejecutivo y del Concejo Deliberante; verificándose que, mientras el Concejo Deliberante dio cumplimiento a dicha disposición, el Departamento Ejecutivo no lo ha hecho en forma equivalente, generando una asimetría en el acceso a la información pública.</w:t>
      </w:r>
    </w:p>
    <w:p w:rsidR="00101911" w:rsidRDefault="00CA4DEF" w:rsidP="009C6E2D">
      <w:pPr>
        <w:pStyle w:val="Normal1"/>
        <w:spacing w:line="360" w:lineRule="auto"/>
        <w:ind w:firstLine="851"/>
        <w:jc w:val="both"/>
      </w:pPr>
      <w:r>
        <w:t xml:space="preserve">Que esa asimetría institucional resulta particularmente gravosa porque proyecta un doble estándar de transparencia dentro del mismo Estado municipal: uno para el órgano deliberativo, que exhibe sus haberes, y otro para el órgano ejecutivo, que retiene u omite información relativa </w:t>
      </w:r>
      <w:r w:rsidR="00101911">
        <w:t>al destino de fondos públicos.</w:t>
      </w:r>
    </w:p>
    <w:p w:rsidR="00101911" w:rsidRDefault="00CA4DEF" w:rsidP="009C6E2D">
      <w:pPr>
        <w:pStyle w:val="Normal1"/>
        <w:spacing w:line="360" w:lineRule="auto"/>
        <w:ind w:firstLine="851"/>
        <w:jc w:val="both"/>
      </w:pPr>
      <w:r>
        <w:t>Que cuando la publicidad de las remuneraciones depende de la voluntad circunstancial de los funcionarios de turno, el derecho ciudadano a la información queda degradado a una práctica contingente; por el contrario, cuando esa publicidad se impone por ordenanza, el estándar de transparencia se independiza de la discrecionalidad política y se in</w:t>
      </w:r>
      <w:r w:rsidR="00101911">
        <w:t>tegra al orden jurídico local.</w:t>
      </w:r>
    </w:p>
    <w:p w:rsidR="00101911" w:rsidRDefault="00CA4DEF" w:rsidP="009C6E2D">
      <w:pPr>
        <w:pStyle w:val="Normal1"/>
        <w:spacing w:line="360" w:lineRule="auto"/>
        <w:ind w:firstLine="851"/>
        <w:jc w:val="both"/>
      </w:pPr>
      <w:r>
        <w:t>Que en contextos de restricciones económicas, ajuste de prestaciones y crisis fiscal, la exigencia de publicidad sobre las remuneraciones de los funcionarios adquiere una relevancia institucional aún mayor, porque permite correlacionar el discurso oficial sobre la administración austera de los recursos con la realidad de las erogaciones sala</w:t>
      </w:r>
      <w:r w:rsidR="00101911">
        <w:t>riales efectivamente abonadas.</w:t>
      </w:r>
    </w:p>
    <w:p w:rsidR="00101911" w:rsidRDefault="00CA4DEF" w:rsidP="009C6E2D">
      <w:pPr>
        <w:pStyle w:val="Normal1"/>
        <w:spacing w:line="360" w:lineRule="auto"/>
        <w:ind w:firstLine="851"/>
        <w:jc w:val="both"/>
      </w:pPr>
      <w:r>
        <w:t>Que el fortalecimiento de la confianza pública no se logra mediante declaraciones abstractas de compromiso ético, sino a través de mecanismos concretos, periódicos, verificables y accesibles de rendición de cuentas, entre los cuales la publicación mensual de los recibos de haberes ocupa un lugar central.</w:t>
      </w:r>
    </w:p>
    <w:p w:rsidR="00101911" w:rsidRDefault="00CA4DEF" w:rsidP="009C6E2D">
      <w:pPr>
        <w:pStyle w:val="Normal1"/>
        <w:spacing w:line="360" w:lineRule="auto"/>
        <w:ind w:firstLine="851"/>
        <w:jc w:val="both"/>
      </w:pPr>
      <w:r>
        <w:t xml:space="preserve">Que, en definitiva, el plexo normativo internacional, nacional, provincial y municipal vigente no sólo habilita, sino que exige profundizar los estándares de publicidad sobre la administración de fondos públicos, resultando plenamente razonable que el Municipio de Azul establezca la obligación de publicación mensual, íntegra y accesible de los haberes de sus </w:t>
      </w:r>
      <w:r w:rsidR="00101911">
        <w:t>funcionarios públicos.</w:t>
      </w:r>
    </w:p>
    <w:p w:rsidR="00101911" w:rsidRDefault="00CA4DEF" w:rsidP="009C6E2D">
      <w:pPr>
        <w:pStyle w:val="Normal1"/>
        <w:spacing w:line="360" w:lineRule="auto"/>
        <w:ind w:firstLine="851"/>
        <w:jc w:val="both"/>
      </w:pPr>
      <w:r>
        <w:t>Que la presentación de declaraciones juradas patrimoniales constituye un instrumento esencial de política pública orientado a la prevención, detección y sanción de hechos de corrupción, así como a la identificación de conflictos de intereses en el ej</w:t>
      </w:r>
      <w:r w:rsidR="00101911">
        <w:t>ercicio de la función pública.</w:t>
      </w:r>
    </w:p>
    <w:p w:rsidR="00101911" w:rsidRDefault="00CA4DEF" w:rsidP="009C6E2D">
      <w:pPr>
        <w:pStyle w:val="Normal1"/>
        <w:spacing w:line="360" w:lineRule="auto"/>
        <w:ind w:firstLine="851"/>
        <w:jc w:val="both"/>
      </w:pPr>
      <w:r>
        <w:t>Que la Ley Nacional N° 25.188 de Ética en el Ejercicio de la Función Pública establece la obligación de los funcionarios de presentar declaraciones juradas patrimoniales integrales al inicio, durante el ejercicio y al cese de sus funciones, permitiendo el control de la evolución de su pat</w:t>
      </w:r>
      <w:r w:rsidR="00101911">
        <w:t>rimonio a lo largo del tiempo.</w:t>
      </w:r>
    </w:p>
    <w:p w:rsidR="00101911" w:rsidRDefault="00CA4DEF" w:rsidP="009C6E2D">
      <w:pPr>
        <w:pStyle w:val="Normal1"/>
        <w:spacing w:line="360" w:lineRule="auto"/>
        <w:ind w:firstLine="851"/>
        <w:jc w:val="both"/>
      </w:pPr>
      <w:r>
        <w:t>Que dichas declaraciones juradas patrimoniales constituyen una herramienta idónea para verificar la razonabilidad entre los ingresos percibidos por los funcionarios y la evolución de su situación patrimonial, posibilitando la detección de eventual</w:t>
      </w:r>
      <w:r w:rsidR="00101911">
        <w:t>es incrementos injustificados.</w:t>
      </w:r>
    </w:p>
    <w:p w:rsidR="00101911" w:rsidRDefault="00CA4DEF" w:rsidP="009C6E2D">
      <w:pPr>
        <w:pStyle w:val="Normal1"/>
        <w:spacing w:line="360" w:lineRule="auto"/>
        <w:ind w:firstLine="851"/>
        <w:jc w:val="both"/>
      </w:pPr>
      <w:r>
        <w:t>Que la Ley Provincial N° 15.000 regula el régimen de declaraciones juradas patrimoniales en el ámbito de la Provincia de Buenos Aires, estableciendo estándares mínimos de transparencia y control, e invitando a los municip</w:t>
      </w:r>
      <w:r w:rsidR="00101911">
        <w:t>ios a adherir a dicho sistema.</w:t>
      </w:r>
    </w:p>
    <w:p w:rsidR="00101911" w:rsidRDefault="00CA4DEF" w:rsidP="009C6E2D">
      <w:pPr>
        <w:pStyle w:val="Normal1"/>
        <w:spacing w:line="360" w:lineRule="auto"/>
        <w:ind w:firstLine="851"/>
        <w:jc w:val="both"/>
      </w:pPr>
      <w:r>
        <w:t>Que el Municipio de Azul adhirió a dicho régimen mediante la Ordenanza N° 4.363/2019, estableciendo la obligación de presentación de declaraciones juradas patrimoniales para los</w:t>
      </w:r>
      <w:r w:rsidR="00101911">
        <w:t xml:space="preserve"> funcionarios allí enumerados.</w:t>
      </w:r>
    </w:p>
    <w:p w:rsidR="00101911" w:rsidRDefault="00CA4DEF" w:rsidP="009C6E2D">
      <w:pPr>
        <w:pStyle w:val="Normal1"/>
        <w:spacing w:line="360" w:lineRule="auto"/>
        <w:ind w:firstLine="851"/>
        <w:jc w:val="both"/>
      </w:pPr>
      <w:r>
        <w:t xml:space="preserve">Que la obligación de presentar declaraciones juradas patrimoniales no se agota en su mera formalización administrativa, sino que requiere su adecuada publicidad y accesibilidad, a fin de garantizar su utilidad como herramienta </w:t>
      </w:r>
      <w:r w:rsidR="00101911">
        <w:t>efectiva de control ciudadano.</w:t>
      </w:r>
    </w:p>
    <w:p w:rsidR="00101911" w:rsidRDefault="00CA4DEF" w:rsidP="009C6E2D">
      <w:pPr>
        <w:pStyle w:val="Normal1"/>
        <w:spacing w:line="360" w:lineRule="auto"/>
        <w:ind w:firstLine="851"/>
        <w:jc w:val="both"/>
      </w:pPr>
      <w:r>
        <w:t>Que la publicidad de las declaraciones juradas patrimoniales se encuentra directamente vinculada con los principios de transparencia activa y máxima divulgación, constituyendo un presupuesto necesario para el ejercicio efectivo del derecho de ac</w:t>
      </w:r>
      <w:r w:rsidR="00101911">
        <w:t>ceso a la información pública.</w:t>
      </w:r>
    </w:p>
    <w:p w:rsidR="00101911" w:rsidRDefault="00CA4DEF" w:rsidP="009C6E2D">
      <w:pPr>
        <w:pStyle w:val="Normal1"/>
        <w:spacing w:line="360" w:lineRule="auto"/>
        <w:ind w:firstLine="851"/>
        <w:jc w:val="both"/>
      </w:pPr>
      <w:r>
        <w:t>Que la ausencia de mecanismos adecuados de difusión y acceso a dichas declaraciones desnaturaliza su finalidad, reduciéndolas a un cumplimiento meramente formal sin impacto real en la prevención de la corrupción.</w:t>
      </w:r>
    </w:p>
    <w:p w:rsidR="00101911" w:rsidRDefault="00CA4DEF" w:rsidP="009C6E2D">
      <w:pPr>
        <w:pStyle w:val="Normal1"/>
        <w:spacing w:line="360" w:lineRule="auto"/>
        <w:ind w:firstLine="851"/>
        <w:jc w:val="both"/>
      </w:pPr>
      <w:r>
        <w:t>Que la disponibilidad pública de las declaraciones juradas patrimoniales fortalece la confianza ciudadana en las instituciones, al permitir un control efectivo sobre la integridad y la conducta de qui</w:t>
      </w:r>
      <w:r w:rsidR="00101911">
        <w:t>enes ejercen funciones públicas.</w:t>
      </w:r>
    </w:p>
    <w:p w:rsidR="009C6E2D" w:rsidRPr="00E805C3" w:rsidRDefault="009C6E2D" w:rsidP="009C6E2D">
      <w:pPr>
        <w:spacing w:line="360" w:lineRule="auto"/>
        <w:jc w:val="center"/>
        <w:rPr>
          <w:b/>
          <w:bCs/>
          <w:lang w:val="es-MX"/>
        </w:rPr>
      </w:pPr>
      <w:r w:rsidRPr="00E805C3">
        <w:rPr>
          <w:b/>
          <w:bCs/>
          <w:lang w:val="es-MX"/>
        </w:rPr>
        <w:t>POR ELLO,</w:t>
      </w:r>
      <w:r>
        <w:rPr>
          <w:b/>
          <w:bCs/>
          <w:lang w:val="es-MX"/>
        </w:rPr>
        <w:t xml:space="preserve"> </w:t>
      </w:r>
      <w:r w:rsidRPr="00E805C3">
        <w:rPr>
          <w:b/>
          <w:bCs/>
          <w:lang w:val="es-MX"/>
        </w:rPr>
        <w:t xml:space="preserve">tratado sobre tablas y aprobado por </w:t>
      </w:r>
      <w:r>
        <w:rPr>
          <w:b/>
          <w:bCs/>
          <w:lang w:val="es-MX"/>
        </w:rPr>
        <w:t>unanimidad de los presentes,</w:t>
      </w:r>
    </w:p>
    <w:p w:rsidR="009C6E2D" w:rsidRPr="00E805C3" w:rsidRDefault="009C6E2D" w:rsidP="009C6E2D">
      <w:pPr>
        <w:spacing w:line="360" w:lineRule="auto"/>
        <w:jc w:val="center"/>
        <w:rPr>
          <w:b/>
          <w:bCs/>
          <w:lang w:val="es-MX"/>
        </w:rPr>
      </w:pPr>
      <w:r w:rsidRPr="00E805C3">
        <w:rPr>
          <w:b/>
          <w:bCs/>
          <w:lang w:val="es-MX"/>
        </w:rPr>
        <w:t>EL CONCEJO DELIBERANTE DEL PARTIDO DE AZUL</w:t>
      </w:r>
    </w:p>
    <w:p w:rsidR="0048645C" w:rsidRDefault="0048645C" w:rsidP="009C6E2D">
      <w:pPr>
        <w:spacing w:line="360" w:lineRule="auto"/>
        <w:jc w:val="center"/>
        <w:rPr>
          <w:b/>
          <w:bCs/>
          <w:u w:val="single"/>
          <w:lang w:val="es-MX"/>
        </w:rPr>
      </w:pPr>
    </w:p>
    <w:p w:rsidR="0048645C" w:rsidRDefault="0048645C" w:rsidP="009C6E2D">
      <w:pPr>
        <w:spacing w:line="360" w:lineRule="auto"/>
        <w:jc w:val="center"/>
        <w:rPr>
          <w:b/>
          <w:bCs/>
          <w:u w:val="single"/>
          <w:lang w:val="es-MX"/>
        </w:rPr>
      </w:pPr>
    </w:p>
    <w:p w:rsidR="009C6E2D" w:rsidRDefault="009C6E2D" w:rsidP="009C6E2D">
      <w:pPr>
        <w:spacing w:line="360" w:lineRule="auto"/>
        <w:jc w:val="center"/>
        <w:rPr>
          <w:b/>
          <w:bCs/>
          <w:u w:val="single"/>
          <w:lang w:val="es-MX"/>
        </w:rPr>
      </w:pPr>
      <w:r w:rsidRPr="00E805C3">
        <w:rPr>
          <w:b/>
          <w:bCs/>
          <w:u w:val="single"/>
          <w:lang w:val="es-MX"/>
        </w:rPr>
        <w:t>RESUELVE</w:t>
      </w:r>
    </w:p>
    <w:p w:rsidR="00B116C5" w:rsidRDefault="00B116C5" w:rsidP="009C6E2D">
      <w:pPr>
        <w:pStyle w:val="Normal1"/>
        <w:shd w:val="clear" w:color="auto" w:fill="FFFFFF"/>
        <w:spacing w:line="360" w:lineRule="auto"/>
        <w:jc w:val="both"/>
        <w:rPr>
          <w:b/>
          <w:bCs/>
        </w:rPr>
      </w:pPr>
    </w:p>
    <w:p w:rsidR="00B116C5" w:rsidRDefault="008E4A03" w:rsidP="009C6E2D">
      <w:pPr>
        <w:pStyle w:val="Normal1"/>
        <w:shd w:val="clear" w:color="auto" w:fill="FFFFFF"/>
        <w:spacing w:line="360" w:lineRule="auto"/>
        <w:jc w:val="both"/>
      </w:pPr>
      <w:r w:rsidRPr="008E4A03">
        <w:rPr>
          <w:b/>
          <w:bCs/>
          <w:u w:val="single"/>
        </w:rPr>
        <w:t>PRIMER</w:t>
      </w:r>
      <w:r w:rsidRPr="0048645C">
        <w:rPr>
          <w:b/>
          <w:bCs/>
          <w:u w:val="single"/>
        </w:rPr>
        <w:t>O.-</w:t>
      </w:r>
      <w:r w:rsidR="00CA4DEF">
        <w:t xml:space="preserve"> INSTAR al Departamento Ejecutivo a dar cumplimiento a la Ordenanza N° 4.363/2019, arbitrando los medios administrativos e institucionales para garantizar la plena implementación del régimen de declaraciones juradas patrimoniales en el ámbito del Municipio de Azul.</w:t>
      </w:r>
    </w:p>
    <w:p w:rsidR="00B116C5" w:rsidRDefault="00B116C5" w:rsidP="009C6E2D">
      <w:pPr>
        <w:pStyle w:val="Normal1"/>
        <w:shd w:val="clear" w:color="auto" w:fill="FFFFFF"/>
        <w:spacing w:line="360" w:lineRule="auto"/>
        <w:jc w:val="both"/>
      </w:pPr>
    </w:p>
    <w:p w:rsidR="009C6E2D" w:rsidRPr="00E805C3" w:rsidRDefault="008E4A03" w:rsidP="009C6E2D">
      <w:pPr>
        <w:spacing w:line="360" w:lineRule="auto"/>
        <w:rPr>
          <w:bCs/>
          <w:lang w:val="es-MX"/>
        </w:rPr>
      </w:pPr>
      <w:r w:rsidRPr="008E4A03">
        <w:rPr>
          <w:b/>
          <w:bCs/>
          <w:u w:val="single"/>
        </w:rPr>
        <w:t>SEGUND</w:t>
      </w:r>
      <w:r w:rsidRPr="0048645C">
        <w:rPr>
          <w:b/>
          <w:bCs/>
          <w:u w:val="single"/>
        </w:rPr>
        <w:t>O</w:t>
      </w:r>
      <w:r w:rsidR="00CA4DEF" w:rsidRPr="0048645C">
        <w:rPr>
          <w:b/>
          <w:bCs/>
          <w:u w:val="single"/>
        </w:rPr>
        <w:t>.-</w:t>
      </w:r>
      <w:r w:rsidR="00CA4DEF">
        <w:t xml:space="preserve"> </w:t>
      </w:r>
      <w:r w:rsidR="009C6E2D" w:rsidRPr="00E805C3">
        <w:rPr>
          <w:bCs/>
          <w:lang w:val="es-MX"/>
        </w:rPr>
        <w:t>COMUNICAR al Departamento Ejecutivo.</w:t>
      </w:r>
    </w:p>
    <w:p w:rsidR="009C6E2D" w:rsidRDefault="009C6E2D" w:rsidP="0048645C">
      <w:pPr>
        <w:spacing w:line="360" w:lineRule="auto"/>
        <w:ind w:left="1276"/>
        <w:jc w:val="both"/>
        <w:rPr>
          <w:bCs/>
          <w:lang w:val="es-MX"/>
        </w:rPr>
      </w:pPr>
      <w:r w:rsidRPr="00E805C3">
        <w:rPr>
          <w:bCs/>
          <w:lang w:val="es-MX"/>
        </w:rPr>
        <w:t xml:space="preserve">DADA en la Sala de Sesiones del Concejo Deliberante del partido de Azul, en la ciudad de Azul, provincia de Buenos Aires, a los </w:t>
      </w:r>
      <w:r>
        <w:rPr>
          <w:bCs/>
          <w:lang w:val="es-MX"/>
        </w:rPr>
        <w:t>siete</w:t>
      </w:r>
      <w:r w:rsidRPr="00E805C3">
        <w:rPr>
          <w:bCs/>
          <w:lang w:val="es-MX"/>
        </w:rPr>
        <w:t xml:space="preserve"> días del mes de </w:t>
      </w:r>
      <w:r>
        <w:rPr>
          <w:bCs/>
          <w:lang w:val="es-MX"/>
        </w:rPr>
        <w:t>abril</w:t>
      </w:r>
      <w:r w:rsidRPr="00E805C3">
        <w:rPr>
          <w:bCs/>
          <w:lang w:val="es-MX"/>
        </w:rPr>
        <w:t xml:space="preserve"> de dos mil veintiséis.</w:t>
      </w:r>
    </w:p>
    <w:p w:rsidR="0048645C" w:rsidRDefault="0048645C" w:rsidP="0048645C">
      <w:pPr>
        <w:spacing w:line="360" w:lineRule="auto"/>
        <w:jc w:val="both"/>
        <w:rPr>
          <w:bCs/>
          <w:lang w:val="es-MX"/>
        </w:rPr>
      </w:pPr>
      <w:r>
        <w:rPr>
          <w:bCs/>
          <w:lang w:val="es-MX"/>
        </w:rPr>
        <w:t>14/04/2026.-ms.</w:t>
      </w:r>
      <w:bookmarkStart w:id="0" w:name="_GoBack"/>
      <w:bookmarkEnd w:id="0"/>
    </w:p>
    <w:p w:rsidR="00B116C5" w:rsidRPr="009C6E2D" w:rsidRDefault="00B116C5" w:rsidP="009C6E2D">
      <w:pPr>
        <w:pStyle w:val="Normal1"/>
        <w:shd w:val="clear" w:color="auto" w:fill="FFFFFF"/>
        <w:spacing w:line="360" w:lineRule="auto"/>
        <w:jc w:val="both"/>
        <w:rPr>
          <w:lang w:val="es-MX"/>
        </w:rPr>
      </w:pPr>
    </w:p>
    <w:sectPr w:rsidR="00B116C5" w:rsidRPr="009C6E2D" w:rsidSect="00101911">
      <w:pgSz w:w="12240" w:h="20160"/>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A862BED-543F-4E67-B6DB-C9781CC8644F}"/>
  </w:font>
  <w:font w:name="Cambria">
    <w:panose1 w:val="02040503050406030204"/>
    <w:charset w:val="00"/>
    <w:family w:val="roman"/>
    <w:pitch w:val="variable"/>
    <w:sig w:usb0="E00006FF" w:usb1="420024FF" w:usb2="02000000" w:usb3="00000000" w:csb0="0000019F" w:csb1="00000000"/>
    <w:embedRegular r:id="rId2" w:fontKey="{6E74A10A-694B-41EA-98C7-DA8D06F3A6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B116C5"/>
    <w:rsid w:val="0006570D"/>
    <w:rsid w:val="00101911"/>
    <w:rsid w:val="00235746"/>
    <w:rsid w:val="0048645C"/>
    <w:rsid w:val="00665EE6"/>
    <w:rsid w:val="00677DA5"/>
    <w:rsid w:val="008E4A03"/>
    <w:rsid w:val="009C6E2D"/>
    <w:rsid w:val="00B116C5"/>
    <w:rsid w:val="00CA4DE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A65ABE-5BD9-416F-AACE-9FC4BB10D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746"/>
  </w:style>
  <w:style w:type="paragraph" w:styleId="Ttulo1">
    <w:name w:val="heading 1"/>
    <w:basedOn w:val="Normal1"/>
    <w:next w:val="Normal1"/>
    <w:rsid w:val="00B116C5"/>
    <w:pPr>
      <w:keepNext/>
      <w:keepLines/>
      <w:spacing w:before="400" w:after="120"/>
      <w:outlineLvl w:val="0"/>
    </w:pPr>
    <w:rPr>
      <w:sz w:val="40"/>
      <w:szCs w:val="40"/>
    </w:rPr>
  </w:style>
  <w:style w:type="paragraph" w:styleId="Ttulo2">
    <w:name w:val="heading 2"/>
    <w:basedOn w:val="Normal1"/>
    <w:next w:val="Normal1"/>
    <w:rsid w:val="00B116C5"/>
    <w:pPr>
      <w:keepNext/>
      <w:keepLines/>
      <w:spacing w:before="360" w:after="120"/>
      <w:outlineLvl w:val="1"/>
    </w:pPr>
    <w:rPr>
      <w:sz w:val="32"/>
      <w:szCs w:val="32"/>
    </w:rPr>
  </w:style>
  <w:style w:type="paragraph" w:styleId="Ttulo3">
    <w:name w:val="heading 3"/>
    <w:basedOn w:val="Normal1"/>
    <w:next w:val="Normal1"/>
    <w:rsid w:val="00B116C5"/>
    <w:pPr>
      <w:keepNext/>
      <w:keepLines/>
      <w:spacing w:before="320" w:after="80"/>
      <w:outlineLvl w:val="2"/>
    </w:pPr>
    <w:rPr>
      <w:color w:val="434343"/>
      <w:sz w:val="28"/>
      <w:szCs w:val="28"/>
    </w:rPr>
  </w:style>
  <w:style w:type="paragraph" w:styleId="Ttulo4">
    <w:name w:val="heading 4"/>
    <w:basedOn w:val="Normal1"/>
    <w:next w:val="Normal1"/>
    <w:rsid w:val="00B116C5"/>
    <w:pPr>
      <w:keepNext/>
      <w:keepLines/>
      <w:spacing w:before="280" w:after="80"/>
      <w:outlineLvl w:val="3"/>
    </w:pPr>
    <w:rPr>
      <w:color w:val="666666"/>
      <w:sz w:val="24"/>
      <w:szCs w:val="24"/>
    </w:rPr>
  </w:style>
  <w:style w:type="paragraph" w:styleId="Ttulo5">
    <w:name w:val="heading 5"/>
    <w:basedOn w:val="Normal1"/>
    <w:next w:val="Normal1"/>
    <w:rsid w:val="00B116C5"/>
    <w:pPr>
      <w:keepNext/>
      <w:keepLines/>
      <w:spacing w:before="240" w:after="80"/>
      <w:outlineLvl w:val="4"/>
    </w:pPr>
    <w:rPr>
      <w:color w:val="666666"/>
    </w:rPr>
  </w:style>
  <w:style w:type="paragraph" w:styleId="Ttulo6">
    <w:name w:val="heading 6"/>
    <w:basedOn w:val="Normal1"/>
    <w:next w:val="Normal1"/>
    <w:rsid w:val="00B116C5"/>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B116C5"/>
    <w:tblPr>
      <w:tblCellMar>
        <w:top w:w="100" w:type="dxa"/>
        <w:left w:w="100" w:type="dxa"/>
        <w:bottom w:w="100" w:type="dxa"/>
        <w:right w:w="100" w:type="dxa"/>
      </w:tblCellMar>
    </w:tblPr>
  </w:style>
  <w:style w:type="paragraph" w:customStyle="1" w:styleId="Normal1">
    <w:name w:val="Normal1"/>
    <w:rsid w:val="00B116C5"/>
  </w:style>
  <w:style w:type="paragraph" w:styleId="Puesto">
    <w:name w:val="Title"/>
    <w:basedOn w:val="Normal1"/>
    <w:next w:val="Normal1"/>
    <w:rsid w:val="00B116C5"/>
    <w:pPr>
      <w:keepNext/>
      <w:keepLines/>
      <w:spacing w:after="60"/>
    </w:pPr>
    <w:rPr>
      <w:sz w:val="52"/>
      <w:szCs w:val="52"/>
    </w:rPr>
  </w:style>
  <w:style w:type="paragraph" w:styleId="Subttulo">
    <w:name w:val="Subtitle"/>
    <w:basedOn w:val="Normal1"/>
    <w:next w:val="Normal1"/>
    <w:rsid w:val="00B116C5"/>
    <w:pPr>
      <w:keepNext/>
      <w:keepLines/>
      <w:spacing w:after="320"/>
    </w:pPr>
    <w:rPr>
      <w:color w:val="666666"/>
      <w:sz w:val="30"/>
      <w:szCs w:val="30"/>
    </w:rPr>
  </w:style>
  <w:style w:type="paragraph" w:customStyle="1" w:styleId="Normal10">
    <w:name w:val="Normal1"/>
    <w:rsid w:val="009C6E2D"/>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2350</Words>
  <Characters>12931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7</cp:revision>
  <cp:lastPrinted>2026-03-31T15:03:00Z</cp:lastPrinted>
  <dcterms:created xsi:type="dcterms:W3CDTF">2026-03-31T14:35:00Z</dcterms:created>
  <dcterms:modified xsi:type="dcterms:W3CDTF">2026-04-14T16:46:00Z</dcterms:modified>
</cp:coreProperties>
</file>