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7B9" w:rsidRPr="00133634" w:rsidRDefault="007217B9" w:rsidP="007217B9">
      <w:pPr>
        <w:pStyle w:val="Normal1"/>
        <w:spacing w:line="360" w:lineRule="auto"/>
        <w:jc w:val="right"/>
        <w:rPr>
          <w:b/>
          <w:u w:val="single"/>
        </w:rPr>
      </w:pPr>
      <w:r w:rsidRPr="00133634">
        <w:rPr>
          <w:b/>
          <w:u w:val="single"/>
        </w:rPr>
        <w:t xml:space="preserve">ORDENANZA NÚMERO </w:t>
      </w:r>
      <w:r w:rsidR="00133634" w:rsidRPr="00133634">
        <w:rPr>
          <w:b/>
          <w:u w:val="single"/>
        </w:rPr>
        <w:t>5.222</w:t>
      </w:r>
    </w:p>
    <w:p w:rsidR="007217B9" w:rsidRPr="007217B9" w:rsidRDefault="007217B9" w:rsidP="007217B9">
      <w:pPr>
        <w:pStyle w:val="Normal1"/>
        <w:spacing w:line="360" w:lineRule="auto"/>
        <w:jc w:val="right"/>
        <w:rPr>
          <w:b/>
        </w:rPr>
      </w:pPr>
    </w:p>
    <w:p w:rsidR="007217B9" w:rsidRPr="007217B9" w:rsidRDefault="007217B9" w:rsidP="007217B9">
      <w:pPr>
        <w:pStyle w:val="Normal1"/>
        <w:spacing w:line="360" w:lineRule="auto"/>
        <w:jc w:val="both"/>
        <w:rPr>
          <w:b/>
        </w:rPr>
      </w:pPr>
      <w:r w:rsidRPr="007217B9">
        <w:rPr>
          <w:b/>
        </w:rPr>
        <w:t>VISTO el Expediente N° 16.690/2025 C.D. (Archivo N°</w:t>
      </w:r>
      <w:r w:rsidR="00133634">
        <w:rPr>
          <w:b/>
        </w:rPr>
        <w:t xml:space="preserve"> </w:t>
      </w:r>
      <w:r w:rsidR="00126AB6">
        <w:rPr>
          <w:b/>
        </w:rPr>
        <w:t>174</w:t>
      </w:r>
      <w:r w:rsidRPr="007217B9">
        <w:rPr>
          <w:b/>
        </w:rPr>
        <w:t>/202</w:t>
      </w:r>
      <w:r w:rsidR="00126AB6">
        <w:rPr>
          <w:b/>
        </w:rPr>
        <w:t>4</w:t>
      </w:r>
      <w:r w:rsidRPr="007217B9">
        <w:rPr>
          <w:b/>
        </w:rPr>
        <w:t xml:space="preserve">). </w:t>
      </w:r>
      <w:r w:rsidR="00133634">
        <w:rPr>
          <w:b/>
        </w:rPr>
        <w:t xml:space="preserve">PLENARIO DE COMISIONES VECINALES. </w:t>
      </w:r>
      <w:r w:rsidR="00130EAF" w:rsidRPr="00130EAF">
        <w:rPr>
          <w:b/>
        </w:rPr>
        <w:t>Elevan notas solicitando la incorporación del nuevo Estatuto del plenario y del artículo 19 bis a la Ordenanza N° 5.063/2024</w:t>
      </w:r>
      <w:r w:rsidRPr="007217B9">
        <w:rPr>
          <w:b/>
        </w:rPr>
        <w:t>.</w:t>
      </w:r>
    </w:p>
    <w:p w:rsidR="007217B9" w:rsidRPr="007217B9" w:rsidRDefault="007217B9" w:rsidP="007217B9">
      <w:pPr>
        <w:pStyle w:val="Normal1"/>
        <w:spacing w:line="360" w:lineRule="auto"/>
        <w:jc w:val="both"/>
      </w:pPr>
      <w:r w:rsidRPr="007217B9">
        <w:t xml:space="preserve">Con Despacho de la Comisión de Interpretación, Legislación y Seguridad Pública.    </w:t>
      </w:r>
    </w:p>
    <w:p w:rsidR="007217B9" w:rsidRPr="007217B9" w:rsidRDefault="007217B9" w:rsidP="007217B9">
      <w:pPr>
        <w:spacing w:line="360" w:lineRule="auto"/>
        <w:jc w:val="center"/>
        <w:rPr>
          <w:b/>
          <w:lang w:val="es"/>
        </w:rPr>
      </w:pPr>
      <w:r w:rsidRPr="007217B9">
        <w:rPr>
          <w:b/>
          <w:lang w:val="es"/>
        </w:rPr>
        <w:t xml:space="preserve">Tratado y aprobado por </w:t>
      </w:r>
      <w:r w:rsidR="00133634">
        <w:rPr>
          <w:b/>
          <w:lang w:val="es"/>
        </w:rPr>
        <w:t>unanimidad de los presentes</w:t>
      </w:r>
    </w:p>
    <w:p w:rsidR="007217B9" w:rsidRPr="007217B9" w:rsidRDefault="007217B9" w:rsidP="007217B9">
      <w:pPr>
        <w:spacing w:line="360" w:lineRule="auto"/>
        <w:jc w:val="center"/>
        <w:rPr>
          <w:b/>
          <w:lang w:val="es"/>
        </w:rPr>
      </w:pPr>
      <w:r w:rsidRPr="007217B9">
        <w:rPr>
          <w:b/>
          <w:lang w:val="es"/>
        </w:rPr>
        <w:t>EL CONCEJO DELIBERANTE DEL PARTIDO DE AZUL</w:t>
      </w:r>
    </w:p>
    <w:p w:rsidR="007217B9" w:rsidRPr="007217B9" w:rsidRDefault="007217B9" w:rsidP="007217B9">
      <w:pPr>
        <w:spacing w:line="360" w:lineRule="auto"/>
        <w:jc w:val="center"/>
        <w:rPr>
          <w:b/>
          <w:lang w:val="es"/>
        </w:rPr>
      </w:pPr>
      <w:r w:rsidRPr="007217B9">
        <w:rPr>
          <w:b/>
          <w:lang w:val="es"/>
        </w:rPr>
        <w:t>Sanciona con fuerza de ley la siguiente</w:t>
      </w:r>
    </w:p>
    <w:p w:rsidR="007217B9" w:rsidRPr="007217B9" w:rsidRDefault="007217B9" w:rsidP="007217B9">
      <w:pPr>
        <w:spacing w:line="360" w:lineRule="auto"/>
        <w:jc w:val="center"/>
        <w:rPr>
          <w:b/>
          <w:u w:val="single"/>
          <w:lang w:val="es"/>
        </w:rPr>
      </w:pPr>
      <w:r w:rsidRPr="007217B9">
        <w:rPr>
          <w:b/>
          <w:u w:val="single"/>
          <w:lang w:val="es"/>
        </w:rPr>
        <w:t>ORDENANZA</w:t>
      </w:r>
    </w:p>
    <w:p w:rsidR="00A70D02" w:rsidRDefault="00A70D02" w:rsidP="007217B9">
      <w:pPr>
        <w:pStyle w:val="Normal1"/>
        <w:spacing w:line="360" w:lineRule="auto"/>
        <w:ind w:firstLine="850"/>
        <w:jc w:val="both"/>
        <w:rPr>
          <w:u w:val="single"/>
        </w:rPr>
      </w:pPr>
    </w:p>
    <w:p w:rsidR="00172DBA" w:rsidRPr="007217B9" w:rsidRDefault="004A4101" w:rsidP="00A70D02">
      <w:pPr>
        <w:pStyle w:val="Normal1"/>
        <w:spacing w:line="360" w:lineRule="auto"/>
        <w:jc w:val="both"/>
      </w:pPr>
      <w:r w:rsidRPr="00A70D02">
        <w:rPr>
          <w:b/>
          <w:u w:val="single"/>
        </w:rPr>
        <w:t>ARTÍCULO 1°</w:t>
      </w:r>
      <w:r w:rsidRPr="00A70D02">
        <w:rPr>
          <w:b/>
        </w:rPr>
        <w:t>.-</w:t>
      </w:r>
      <w:r w:rsidR="00133634">
        <w:t xml:space="preserve"> </w:t>
      </w:r>
      <w:r w:rsidR="00133634" w:rsidRPr="000E47DE">
        <w:t>MODIFÍCA</w:t>
      </w:r>
      <w:r w:rsidRPr="000E47DE">
        <w:t>SE el artículo 5° de la Ordenanza N° 5.063/2024, que quedará redactado de la siguiente manera:</w:t>
      </w:r>
      <w:r w:rsidRPr="007217B9">
        <w:t xml:space="preserve"> </w:t>
      </w:r>
    </w:p>
    <w:p w:rsidR="00172DBA" w:rsidRDefault="004A4101" w:rsidP="00A70D02">
      <w:pPr>
        <w:pStyle w:val="Normal1"/>
        <w:spacing w:line="360" w:lineRule="auto"/>
        <w:jc w:val="both"/>
      </w:pPr>
      <w:r w:rsidRPr="007217B9">
        <w:t>“</w:t>
      </w:r>
      <w:r w:rsidRPr="007217B9">
        <w:rPr>
          <w:i/>
          <w:iCs/>
        </w:rPr>
        <w:t xml:space="preserve">ARTÍCULO 5°.- DETERMÍNASE que el Plenario de Comisiones Vecinales es el organismo que reúne en asamblea a sus representantes para analizar temas en común y prestarles la máxima colaboración, a fin de que puedan dar cumplimiento con lo establecido en la presente Ordenanza. Realizarán reuniones plenarias, como mínimo dos veces al año, para deliberar en base a un orden del día confeccionado durante los diez días previos a la fecha fijada, integrado por los temas que los representantes de las Comisiones Vecinales quieran abordar y comuniquen, en forma escrita, a la Mesa Coordinadora. El plenario será coordinado por cinco (5) miembros que deberán ser presidentes de Comisiones Vecinales. Serán elegidos con la simple votación de los presentes, en la primera reunión plenaria anual posterior a una elección. </w:t>
      </w:r>
      <w:r w:rsidRPr="00133634">
        <w:rPr>
          <w:bCs/>
          <w:i/>
        </w:rPr>
        <w:t>El funcionamiento del Plenario de Comisiones Vecinales se regirá en el marco del Estatuto que, com</w:t>
      </w:r>
      <w:r w:rsidR="00133634">
        <w:rPr>
          <w:bCs/>
          <w:i/>
        </w:rPr>
        <w:t>o ANEXO IV, integra la presente</w:t>
      </w:r>
      <w:r w:rsidRPr="007217B9">
        <w:t>”</w:t>
      </w:r>
      <w:r w:rsidR="00133634">
        <w:t>.</w:t>
      </w:r>
    </w:p>
    <w:p w:rsidR="00A70D02" w:rsidRPr="007217B9" w:rsidRDefault="00A70D02" w:rsidP="00A70D02">
      <w:pPr>
        <w:pStyle w:val="Normal1"/>
        <w:spacing w:line="360" w:lineRule="auto"/>
        <w:jc w:val="both"/>
      </w:pPr>
    </w:p>
    <w:p w:rsidR="00172DBA" w:rsidRPr="007217B9" w:rsidRDefault="004A4101" w:rsidP="00A70D02">
      <w:pPr>
        <w:pStyle w:val="Normal1"/>
        <w:spacing w:line="360" w:lineRule="auto"/>
        <w:jc w:val="both"/>
      </w:pPr>
      <w:r w:rsidRPr="00A70D02">
        <w:rPr>
          <w:b/>
          <w:u w:val="single"/>
        </w:rPr>
        <w:t>ARTÍCULO 2°</w:t>
      </w:r>
      <w:r w:rsidRPr="00A70D02">
        <w:rPr>
          <w:b/>
        </w:rPr>
        <w:t>.-</w:t>
      </w:r>
      <w:r w:rsidR="00133634">
        <w:t xml:space="preserve"> INCORPÓRA</w:t>
      </w:r>
      <w:r w:rsidRPr="007217B9">
        <w:t>SE el artículo 19° bis a la Ordenanza N° 5.063/2024, que quedará redactado de la siguiente manera:</w:t>
      </w:r>
    </w:p>
    <w:p w:rsidR="00172DBA" w:rsidRPr="007217B9" w:rsidRDefault="004A4101" w:rsidP="00133634">
      <w:pPr>
        <w:pStyle w:val="Normal1"/>
        <w:spacing w:line="360" w:lineRule="auto"/>
        <w:jc w:val="both"/>
        <w:rPr>
          <w:i/>
          <w:iCs/>
        </w:rPr>
      </w:pPr>
      <w:r w:rsidRPr="007217B9">
        <w:t>“</w:t>
      </w:r>
      <w:r w:rsidRPr="007217B9">
        <w:rPr>
          <w:i/>
          <w:iCs/>
        </w:rPr>
        <w:t xml:space="preserve">ARTÍCULO 19° BIS: Con una antelación mínima de veinte (20) días a la convocatoria a elecciones, la Autoridad de Aplicación deberá </w:t>
      </w:r>
      <w:r w:rsidR="00133634">
        <w:rPr>
          <w:i/>
          <w:iCs/>
        </w:rPr>
        <w:t xml:space="preserve">convocar a las </w:t>
      </w:r>
      <w:r w:rsidRPr="007217B9">
        <w:rPr>
          <w:i/>
          <w:iCs/>
        </w:rPr>
        <w:t>asambleas extraordinarias de las comisiones vecinales vigentes y con los vecinos en general, con el fin de informar sobre elecciones, detallando los requisitos, planos y demás disposiciones establecidas en la presente ordenanza.</w:t>
      </w:r>
    </w:p>
    <w:p w:rsidR="00172DBA" w:rsidRDefault="004A4101" w:rsidP="00133634">
      <w:pPr>
        <w:pStyle w:val="Normal1"/>
        <w:spacing w:line="360" w:lineRule="auto"/>
        <w:jc w:val="both"/>
      </w:pPr>
      <w:r w:rsidRPr="007217B9">
        <w:rPr>
          <w:i/>
          <w:iCs/>
        </w:rPr>
        <w:t>La convocatoria a las asambleas deberá efectuarse a través de los medios de comunicación</w:t>
      </w:r>
      <w:r w:rsidR="00133634">
        <w:rPr>
          <w:i/>
          <w:iCs/>
        </w:rPr>
        <w:t xml:space="preserve"> y las redes sociales oficiales</w:t>
      </w:r>
      <w:r w:rsidRPr="007217B9">
        <w:t>”</w:t>
      </w:r>
      <w:r w:rsidR="00133634">
        <w:t>.</w:t>
      </w:r>
    </w:p>
    <w:p w:rsidR="007217B9" w:rsidRPr="007217B9" w:rsidRDefault="004A4101" w:rsidP="007217B9">
      <w:pPr>
        <w:pBdr>
          <w:top w:val="none" w:sz="0" w:space="0" w:color="0D0D0D"/>
          <w:left w:val="none" w:sz="0" w:space="16" w:color="0D0D0D"/>
          <w:bottom w:val="none" w:sz="0" w:space="0" w:color="0D0D0D"/>
          <w:right w:val="none" w:sz="0" w:space="0" w:color="0D0D0D"/>
          <w:between w:val="none" w:sz="0" w:space="0" w:color="0D0D0D"/>
        </w:pBdr>
        <w:spacing w:line="360" w:lineRule="auto"/>
        <w:jc w:val="both"/>
        <w:rPr>
          <w:color w:val="0D0D0D"/>
          <w:highlight w:val="white"/>
        </w:rPr>
      </w:pPr>
      <w:r w:rsidRPr="00A70D02">
        <w:rPr>
          <w:b/>
          <w:u w:val="single"/>
        </w:rPr>
        <w:lastRenderedPageBreak/>
        <w:t>ARTÍCULO 3°</w:t>
      </w:r>
      <w:r w:rsidRPr="00A70D02">
        <w:rPr>
          <w:b/>
        </w:rPr>
        <w:t>.-</w:t>
      </w:r>
      <w:r w:rsidRPr="007217B9">
        <w:t xml:space="preserve"> </w:t>
      </w:r>
      <w:r w:rsidR="007217B9" w:rsidRPr="007217B9">
        <w:rPr>
          <w:color w:val="0D0D0D"/>
          <w:highlight w:val="white"/>
        </w:rPr>
        <w:t>COMUNÍCASE al Departamento Ejecutivo.</w:t>
      </w:r>
    </w:p>
    <w:p w:rsidR="007217B9" w:rsidRPr="007217B9" w:rsidRDefault="007217B9" w:rsidP="007217B9">
      <w:pPr>
        <w:pBdr>
          <w:top w:val="none" w:sz="0" w:space="0" w:color="0D0D0D"/>
          <w:left w:val="none" w:sz="0" w:space="16" w:color="0D0D0D"/>
          <w:bottom w:val="none" w:sz="0" w:space="0" w:color="0D0D0D"/>
          <w:right w:val="none" w:sz="0" w:space="0" w:color="0D0D0D"/>
          <w:between w:val="none" w:sz="0" w:space="0" w:color="0D0D0D"/>
        </w:pBdr>
        <w:spacing w:line="360" w:lineRule="auto"/>
        <w:ind w:left="1560"/>
        <w:jc w:val="both"/>
        <w:rPr>
          <w:color w:val="0D0D0D"/>
          <w:highlight w:val="white"/>
        </w:rPr>
      </w:pPr>
      <w:r w:rsidRPr="007217B9">
        <w:rPr>
          <w:color w:val="0D0D0D"/>
          <w:highlight w:val="white"/>
        </w:rPr>
        <w:t xml:space="preserve">DADA en la Sala de Sesiones del Concejo Deliberante del partido de Azul, en la ciudad de Azul, provincia de Buenos Aires, a los diecisiete días del mes de marzo de dos mil veintiséis. </w:t>
      </w:r>
    </w:p>
    <w:p w:rsidR="00172DBA" w:rsidRDefault="007217B9" w:rsidP="00133634">
      <w:pPr>
        <w:pStyle w:val="Normal1"/>
        <w:spacing w:line="360" w:lineRule="auto"/>
        <w:jc w:val="both"/>
        <w:rPr>
          <w:color w:val="0D0D0D"/>
        </w:rPr>
      </w:pPr>
      <w:r w:rsidRPr="007217B9">
        <w:rPr>
          <w:color w:val="0D0D0D"/>
          <w:highlight w:val="white"/>
        </w:rPr>
        <w:t>17/03/2026.-uem</w:t>
      </w:r>
    </w:p>
    <w:p w:rsidR="00995F96" w:rsidRDefault="00995F96">
      <w:pPr>
        <w:rPr>
          <w:color w:val="0D0D0D"/>
          <w:highlight w:val="white"/>
        </w:rPr>
      </w:pPr>
      <w:r>
        <w:rPr>
          <w:color w:val="0D0D0D"/>
          <w:highlight w:val="white"/>
        </w:rPr>
        <w:br w:type="page"/>
      </w:r>
    </w:p>
    <w:p w:rsidR="00995F96" w:rsidRDefault="00995F96" w:rsidP="00995F96">
      <w:pPr>
        <w:pStyle w:val="Normal1"/>
        <w:spacing w:line="360" w:lineRule="auto"/>
        <w:jc w:val="right"/>
        <w:rPr>
          <w:b/>
          <w:u w:val="single"/>
        </w:rPr>
      </w:pPr>
      <w:r w:rsidRPr="00995F96">
        <w:rPr>
          <w:b/>
          <w:u w:val="single"/>
        </w:rPr>
        <w:t>ANEXO A LA ORDENANZA Nº 5.222/2026</w:t>
      </w:r>
    </w:p>
    <w:p w:rsidR="00995F96" w:rsidRDefault="00995F96" w:rsidP="00995F96">
      <w:pPr>
        <w:keepNext/>
        <w:keepLines/>
        <w:spacing w:line="240" w:lineRule="auto"/>
        <w:jc w:val="center"/>
        <w:rPr>
          <w:rFonts w:eastAsia="Calibri"/>
          <w:b/>
        </w:rPr>
      </w:pPr>
    </w:p>
    <w:p w:rsidR="00995F96" w:rsidRPr="00995F96" w:rsidRDefault="00995F96" w:rsidP="00995F96">
      <w:pPr>
        <w:keepNext/>
        <w:keepLines/>
        <w:spacing w:line="240" w:lineRule="auto"/>
        <w:jc w:val="center"/>
        <w:rPr>
          <w:b/>
        </w:rPr>
      </w:pPr>
      <w:r w:rsidRPr="00995F96">
        <w:rPr>
          <w:rFonts w:eastAsia="Calibri"/>
          <w:b/>
        </w:rPr>
        <w:t>ESTATUTO DEL PLENARIO DE COMISIONES VECINALES</w:t>
      </w:r>
    </w:p>
    <w:p w:rsidR="00995F96" w:rsidRPr="00995F96" w:rsidRDefault="00995F96" w:rsidP="00995F96">
      <w:pPr>
        <w:keepNext/>
        <w:keepLines/>
        <w:spacing w:line="240" w:lineRule="auto"/>
        <w:jc w:val="center"/>
        <w:rPr>
          <w:b/>
        </w:rPr>
      </w:pPr>
      <w:r w:rsidRPr="00995F96">
        <w:rPr>
          <w:rFonts w:eastAsia="Calibri"/>
          <w:b/>
        </w:rPr>
        <w:t>Partido de Azul, Provincia de Buenos Aires</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keepNext/>
        <w:keepLines/>
        <w:spacing w:line="240" w:lineRule="auto"/>
        <w:jc w:val="both"/>
        <w:outlineLvl w:val="0"/>
        <w:rPr>
          <w:b/>
        </w:rPr>
      </w:pPr>
      <w:r w:rsidRPr="00995F96">
        <w:rPr>
          <w:rFonts w:eastAsia="Calibri"/>
          <w:b/>
          <w:u w:val="single"/>
        </w:rPr>
        <w:t>CAPÍTULO I:</w:t>
      </w:r>
      <w:r w:rsidRPr="00995F96">
        <w:rPr>
          <w:rFonts w:eastAsia="Calibri"/>
          <w:b/>
        </w:rPr>
        <w:t xml:space="preserve"> </w:t>
      </w:r>
      <w:r w:rsidRPr="00995F96">
        <w:rPr>
          <w:rFonts w:eastAsia="Calibri"/>
          <w:b/>
          <w:caps/>
        </w:rPr>
        <w:t>Denominación-Objetivos–Domicilio</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b/>
          <w:bCs/>
          <w:color w:val="000000"/>
        </w:rPr>
        <w:t xml:space="preserve">Artículo 1. Denominación: </w:t>
      </w:r>
      <w:r w:rsidRPr="00995F96">
        <w:rPr>
          <w:rFonts w:eastAsia="Calibri"/>
          <w:color w:val="000000"/>
        </w:rPr>
        <w:t>Con la denominación de PLENARIO DE COMISIONES VECINALES (en adelante “el plenario”) de la ciudad de Azul, se constituye un Plenario de Comisiones Vecinales, con el objetivo de satisfacer las necesidades comunes y mejorar la calidad de vida, sobre la base de los principios de participación democrática, colaboración mutua y solidaridad vecinal, abierta a las y los vecinos, sin distinción de raza, credo, género, ni opinión política, tendrá capacidad de actuar en representación de los vecinos del Partido.</w:t>
      </w:r>
    </w:p>
    <w:p w:rsidR="00995F96" w:rsidRPr="00995F96" w:rsidRDefault="00995F96" w:rsidP="00995F96">
      <w:pPr>
        <w:pBdr>
          <w:top w:val="nil"/>
          <w:left w:val="nil"/>
          <w:bottom w:val="nil"/>
          <w:right w:val="nil"/>
          <w:between w:val="nil"/>
        </w:pBdr>
        <w:spacing w:line="240" w:lineRule="auto"/>
        <w:jc w:val="both"/>
        <w:rPr>
          <w:rFonts w:eastAsia="Calibri"/>
          <w:color w:val="000000"/>
        </w:rPr>
      </w:pPr>
      <w:r w:rsidRPr="00995F96">
        <w:rPr>
          <w:rFonts w:eastAsia="Calibri"/>
          <w:color w:val="000000"/>
        </w:rPr>
        <w:t>El Plenario, en su constitución y en el cumplimiento de sus fines, debe observar principios de pluralidad cultural que integre y entrecruce la diversidad de tradiciones políticas, sociales, religiosas, etarias y de género presentes en la comunidad.</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rPr>
      </w:pPr>
      <w:r w:rsidRPr="00995F96">
        <w:rPr>
          <w:rFonts w:eastAsia="Calibri"/>
          <w:b/>
        </w:rPr>
        <w:t>Artículo 2. Objetivos</w:t>
      </w:r>
    </w:p>
    <w:p w:rsidR="00995F96" w:rsidRPr="00995F96" w:rsidRDefault="00995F96" w:rsidP="00995F96">
      <w:pPr>
        <w:widowControl w:val="0"/>
        <w:numPr>
          <w:ilvl w:val="0"/>
          <w:numId w:val="8"/>
        </w:numPr>
        <w:pBdr>
          <w:top w:val="nil"/>
          <w:left w:val="nil"/>
          <w:bottom w:val="nil"/>
          <w:right w:val="nil"/>
          <w:between w:val="nil"/>
        </w:pBdr>
        <w:tabs>
          <w:tab w:val="left" w:pos="821"/>
        </w:tabs>
        <w:spacing w:line="240" w:lineRule="auto"/>
        <w:jc w:val="both"/>
        <w:rPr>
          <w:color w:val="000000"/>
        </w:rPr>
      </w:pPr>
      <w:r w:rsidRPr="00995F96">
        <w:rPr>
          <w:rFonts w:eastAsia="Calibri"/>
          <w:color w:val="000000"/>
        </w:rPr>
        <w:t>Fomentar el espíritu de solidaridad, la consideración y asistencia recíproca entre integrantes de la comunidad vecinal, estimular la participación cívica, perfeccionar y/o propiciar la creación de organismos de cooperación, ayuda mutua y recreación.</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1"/>
        </w:tabs>
        <w:spacing w:line="240" w:lineRule="auto"/>
        <w:jc w:val="both"/>
        <w:rPr>
          <w:color w:val="000000"/>
        </w:rPr>
      </w:pPr>
      <w:r w:rsidRPr="00995F96">
        <w:rPr>
          <w:rFonts w:eastAsia="Calibri"/>
          <w:color w:val="000000"/>
        </w:rPr>
        <w:t>Promover las actividades de: atención primaria de la salud, desarrollo cultural, educativo, deportivo, de infraestructura, seguridad ciudadana y cualquier otra actividad de bien común.</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Promover la instrucción formal y capacitación de las y los vecinos, mediante la creación de centros de alfabetización y apoyo escolar, artes y oficios, cursos, conferencias, etc. Y propiciar las manifestaciones culturales de nuestra comunidad, proponiendo su mantenimiento y desarrollo.</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Canalizar las necesidades y problemas en común de las y los vecinos del Partido, como así también las propuestas de soluciones, comunicando los recursos materiales y humanos disponibles en efecto ante el gobierno nacional, provincial y municipal.</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Promover y decidir la realización de programas de desarrollo basados en la participación de las y los vecinos.</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Defender los derechos de los integrantes de la comunidad conforme a las leyes, reglamentos, decretos, ordenanzas y colaborar para la eficaz difusión, aplicación y cumplimiento de las mismas.</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Colaborar con el gobierno municipal en el cumplimiento de las ordenanzas, en especial las atinentes a la seguridad, la salud pública, a través de la difusión de sus contenidos entre los vecinos, como así también colaborar con las distintas áreas de la comuna para facilitar el cumplimiento de los objetivos.</w:t>
      </w:r>
    </w:p>
    <w:p w:rsidR="00995F96" w:rsidRPr="00995F96" w:rsidRDefault="00995F96" w:rsidP="00995F96">
      <w:pPr>
        <w:widowControl w:val="0"/>
        <w:numPr>
          <w:ilvl w:val="0"/>
          <w:numId w:val="8"/>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Estimular toda actividad que propenda al bien común. El Plenario se declara ajeno y prescindente de cualquier ideología y/o convicción de naturaleza político/partidaria, religiosa, racial, cultural, etc., y repudia todo tipo de segregación y/o discriminación de cualquiera de estas índoles, adoptando el respeto como medio idóneo de comunicación y relacionamiento entre los vecinos, y la tolerancia como valor esperable a tal efecto.</w:t>
      </w:r>
    </w:p>
    <w:p w:rsidR="00995F96" w:rsidRPr="00995F96" w:rsidRDefault="00995F96" w:rsidP="00995F96">
      <w:pPr>
        <w:spacing w:line="240" w:lineRule="auto"/>
        <w:jc w:val="both"/>
        <w:rPr>
          <w:rFonts w:eastAsia="Calibri"/>
          <w:b/>
          <w:bCs/>
        </w:rPr>
      </w:pPr>
    </w:p>
    <w:p w:rsidR="00995F96" w:rsidRPr="00995F96" w:rsidRDefault="00995F96" w:rsidP="00995F96">
      <w:pPr>
        <w:spacing w:line="240" w:lineRule="auto"/>
        <w:jc w:val="both"/>
        <w:rPr>
          <w:b/>
          <w:bCs/>
        </w:rPr>
      </w:pPr>
      <w:r w:rsidRPr="00995F96">
        <w:rPr>
          <w:rFonts w:eastAsia="Calibri"/>
          <w:b/>
          <w:bCs/>
        </w:rPr>
        <w:t>Artículo 3. Domicilio</w:t>
      </w:r>
    </w:p>
    <w:p w:rsidR="00995F96" w:rsidRPr="00995F96" w:rsidRDefault="00995F96" w:rsidP="00995F96">
      <w:pPr>
        <w:spacing w:line="240" w:lineRule="auto"/>
        <w:jc w:val="both"/>
      </w:pPr>
      <w:r w:rsidRPr="00995F96">
        <w:rPr>
          <w:rFonts w:eastAsia="Calibri"/>
        </w:rPr>
        <w:t>Se establece el domicilio en…………………………………………………………….de esta ciudad, pudiendo trasladarlo cuando así lo acuerde la asamblea.</w:t>
      </w:r>
    </w:p>
    <w:p w:rsidR="00995F96" w:rsidRPr="00995F96" w:rsidRDefault="00995F96" w:rsidP="00995F96">
      <w:pPr>
        <w:keepNext/>
        <w:keepLines/>
        <w:spacing w:line="240" w:lineRule="auto"/>
        <w:jc w:val="both"/>
        <w:outlineLvl w:val="0"/>
        <w:rPr>
          <w:b/>
        </w:rPr>
      </w:pPr>
      <w:r w:rsidRPr="00995F96">
        <w:rPr>
          <w:rFonts w:eastAsia="Calibri"/>
          <w:b/>
          <w:u w:val="single"/>
        </w:rPr>
        <w:t>CAPÍTULO II:</w:t>
      </w:r>
      <w:r w:rsidRPr="00995F96">
        <w:rPr>
          <w:rFonts w:eastAsia="Calibri"/>
          <w:b/>
        </w:rPr>
        <w:t xml:space="preserve"> DE LOS INTEGRANTES: DERECHOS–DEBERES–PÉRDIDA DE SU CONDICIÓN</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4. Carácter de los integrantes</w:t>
      </w:r>
    </w:p>
    <w:p w:rsidR="00995F96" w:rsidRPr="00995F96" w:rsidRDefault="00995F96" w:rsidP="00995F96">
      <w:pPr>
        <w:pBdr>
          <w:top w:val="nil"/>
          <w:left w:val="nil"/>
          <w:bottom w:val="nil"/>
          <w:right w:val="nil"/>
          <w:between w:val="nil"/>
        </w:pBdr>
        <w:spacing w:line="240" w:lineRule="auto"/>
        <w:jc w:val="both"/>
        <w:rPr>
          <w:rFonts w:eastAsia="Calibri"/>
          <w:color w:val="000000"/>
        </w:rPr>
      </w:pPr>
      <w:r w:rsidRPr="00995F96">
        <w:rPr>
          <w:rFonts w:eastAsia="Calibri"/>
          <w:b/>
          <w:bCs/>
          <w:color w:val="000000"/>
        </w:rPr>
        <w:t xml:space="preserve">Activos: </w:t>
      </w:r>
      <w:r w:rsidRPr="00995F96">
        <w:rPr>
          <w:rFonts w:eastAsia="Calibri"/>
          <w:color w:val="000000"/>
        </w:rPr>
        <w:t>Podrán ser miembros del Plenario de Comisiones Vecinales en carácter de integrante, el presidente/a de cada Comisión Vecinal del partido de Azul vigente en su defecto se delegará la representatividad como integrante pasivo al vicepresidente/a correspondiente.</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rFonts w:eastAsia="Calibri"/>
          <w:color w:val="000000"/>
        </w:rPr>
      </w:pPr>
      <w:r w:rsidRPr="00995F96">
        <w:rPr>
          <w:rFonts w:eastAsia="Calibri"/>
          <w:b/>
          <w:bCs/>
          <w:color w:val="000000"/>
        </w:rPr>
        <w:t xml:space="preserve">Pasivos: SOLO LOS VICEPRESIDENTES/AS </w:t>
      </w:r>
      <w:r w:rsidRPr="00995F96">
        <w:rPr>
          <w:rFonts w:eastAsia="Calibri"/>
          <w:color w:val="000000"/>
        </w:rPr>
        <w:t>podrán participar con voz y sin derecho al voto.</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spacing w:line="240" w:lineRule="auto"/>
        <w:jc w:val="both"/>
        <w:rPr>
          <w:b/>
          <w:bCs/>
        </w:rPr>
      </w:pPr>
      <w:r w:rsidRPr="00995F96">
        <w:rPr>
          <w:rFonts w:eastAsia="Calibri"/>
          <w:b/>
          <w:bCs/>
        </w:rPr>
        <w:t>Artículo 5. Derechos</w:t>
      </w:r>
    </w:p>
    <w:p w:rsidR="00995F96" w:rsidRPr="00995F96" w:rsidRDefault="00995F96" w:rsidP="00995F96">
      <w:pPr>
        <w:spacing w:line="240" w:lineRule="auto"/>
        <w:jc w:val="both"/>
      </w:pPr>
      <w:r w:rsidRPr="00995F96">
        <w:rPr>
          <w:rFonts w:eastAsia="Calibri"/>
        </w:rPr>
        <w:t>Son derechos de los Integrantes activos:</w:t>
      </w:r>
    </w:p>
    <w:p w:rsidR="00995F96" w:rsidRPr="00995F96" w:rsidRDefault="00995F96" w:rsidP="00995F96">
      <w:pPr>
        <w:widowControl w:val="0"/>
        <w:numPr>
          <w:ilvl w:val="0"/>
          <w:numId w:val="7"/>
        </w:numPr>
        <w:pBdr>
          <w:top w:val="nil"/>
          <w:left w:val="nil"/>
          <w:bottom w:val="nil"/>
          <w:right w:val="nil"/>
          <w:between w:val="nil"/>
        </w:pBdr>
        <w:tabs>
          <w:tab w:val="left" w:pos="866"/>
        </w:tabs>
        <w:spacing w:line="240" w:lineRule="auto"/>
        <w:ind w:hanging="361"/>
        <w:jc w:val="both"/>
        <w:rPr>
          <w:color w:val="000000"/>
        </w:rPr>
      </w:pPr>
      <w:r w:rsidRPr="00995F96">
        <w:rPr>
          <w:rFonts w:eastAsia="Calibri"/>
          <w:color w:val="000000"/>
        </w:rPr>
        <w:t>Asistir con voz y voto a las Asambleas todos los PRESIDENTES/AS.</w:t>
      </w:r>
    </w:p>
    <w:p w:rsidR="00995F96" w:rsidRPr="00995F96" w:rsidRDefault="00995F96" w:rsidP="00995F96">
      <w:pPr>
        <w:widowControl w:val="0"/>
        <w:numPr>
          <w:ilvl w:val="0"/>
          <w:numId w:val="7"/>
        </w:numPr>
        <w:pBdr>
          <w:top w:val="nil"/>
          <w:left w:val="nil"/>
          <w:bottom w:val="nil"/>
          <w:right w:val="nil"/>
          <w:between w:val="nil"/>
        </w:pBdr>
        <w:tabs>
          <w:tab w:val="left" w:pos="866"/>
        </w:tabs>
        <w:spacing w:line="240" w:lineRule="auto"/>
        <w:ind w:hanging="361"/>
        <w:jc w:val="both"/>
        <w:rPr>
          <w:color w:val="000000"/>
        </w:rPr>
      </w:pPr>
      <w:r w:rsidRPr="00995F96">
        <w:rPr>
          <w:rFonts w:eastAsia="Calibri"/>
          <w:color w:val="000000"/>
        </w:rPr>
        <w:t>Elegir y ser elegido para los cargos de la Mesa Ejecutiva.</w:t>
      </w:r>
    </w:p>
    <w:p w:rsidR="00995F96" w:rsidRPr="00995F96" w:rsidRDefault="00995F96" w:rsidP="00995F96">
      <w:pPr>
        <w:widowControl w:val="0"/>
        <w:numPr>
          <w:ilvl w:val="0"/>
          <w:numId w:val="7"/>
        </w:numPr>
        <w:pBdr>
          <w:top w:val="nil"/>
          <w:left w:val="nil"/>
          <w:bottom w:val="nil"/>
          <w:right w:val="nil"/>
          <w:between w:val="nil"/>
        </w:pBdr>
        <w:tabs>
          <w:tab w:val="left" w:pos="866"/>
        </w:tabs>
        <w:spacing w:line="240" w:lineRule="auto"/>
        <w:jc w:val="both"/>
        <w:rPr>
          <w:color w:val="000000"/>
        </w:rPr>
      </w:pPr>
      <w:r w:rsidRPr="00995F96">
        <w:rPr>
          <w:rFonts w:eastAsia="Calibri"/>
          <w:color w:val="000000"/>
        </w:rPr>
        <w:t>Exponer en la Asamblea todo lo que considere pueda contribuir a la realización de los objetivos sociales.</w:t>
      </w:r>
    </w:p>
    <w:p w:rsidR="00995F96" w:rsidRPr="00995F96" w:rsidRDefault="00995F96" w:rsidP="00995F96">
      <w:pPr>
        <w:widowControl w:val="0"/>
        <w:numPr>
          <w:ilvl w:val="0"/>
          <w:numId w:val="7"/>
        </w:numPr>
        <w:pBdr>
          <w:top w:val="nil"/>
          <w:left w:val="nil"/>
          <w:bottom w:val="nil"/>
          <w:right w:val="nil"/>
          <w:between w:val="nil"/>
        </w:pBdr>
        <w:tabs>
          <w:tab w:val="left" w:pos="866"/>
        </w:tabs>
        <w:spacing w:line="240" w:lineRule="auto"/>
        <w:ind w:hanging="361"/>
        <w:jc w:val="both"/>
        <w:rPr>
          <w:color w:val="000000"/>
        </w:rPr>
      </w:pPr>
      <w:r w:rsidRPr="00995F96">
        <w:rPr>
          <w:rFonts w:eastAsia="Calibri"/>
          <w:color w:val="000000"/>
        </w:rPr>
        <w:t>Solicitar y obtener información de la Mesa Ejecutiva.</w:t>
      </w:r>
    </w:p>
    <w:p w:rsidR="00995F96" w:rsidRPr="00995F96" w:rsidRDefault="00995F96" w:rsidP="00995F96">
      <w:pPr>
        <w:widowControl w:val="0"/>
        <w:numPr>
          <w:ilvl w:val="0"/>
          <w:numId w:val="7"/>
        </w:numPr>
        <w:pBdr>
          <w:top w:val="nil"/>
          <w:left w:val="nil"/>
          <w:bottom w:val="nil"/>
          <w:right w:val="nil"/>
          <w:between w:val="nil"/>
        </w:pBdr>
        <w:tabs>
          <w:tab w:val="left" w:pos="866"/>
        </w:tabs>
        <w:spacing w:line="240" w:lineRule="auto"/>
        <w:ind w:hanging="361"/>
        <w:jc w:val="both"/>
        <w:rPr>
          <w:color w:val="000000"/>
        </w:rPr>
      </w:pPr>
      <w:r w:rsidRPr="00995F96">
        <w:rPr>
          <w:rFonts w:eastAsia="Calibri"/>
          <w:color w:val="000000"/>
        </w:rPr>
        <w:t>Obtener un ejemplar del estatuto.</w:t>
      </w:r>
    </w:p>
    <w:p w:rsidR="00995F96" w:rsidRPr="00995F96" w:rsidRDefault="00995F96" w:rsidP="00995F96">
      <w:pPr>
        <w:widowControl w:val="0"/>
        <w:numPr>
          <w:ilvl w:val="0"/>
          <w:numId w:val="7"/>
        </w:numPr>
        <w:pBdr>
          <w:top w:val="nil"/>
          <w:left w:val="nil"/>
          <w:bottom w:val="nil"/>
          <w:right w:val="nil"/>
          <w:between w:val="nil"/>
        </w:pBdr>
        <w:tabs>
          <w:tab w:val="left" w:pos="866"/>
          <w:tab w:val="left" w:pos="915"/>
        </w:tabs>
        <w:spacing w:line="240" w:lineRule="auto"/>
        <w:jc w:val="both"/>
        <w:rPr>
          <w:color w:val="000000"/>
        </w:rPr>
      </w:pPr>
      <w:r w:rsidRPr="00995F96">
        <w:rPr>
          <w:rFonts w:eastAsia="Calibri"/>
          <w:color w:val="000000"/>
        </w:rPr>
        <w:t>Participar en todas las acciones emanadas de la Mesa Ejecutiva sin restricción de ningún tipo.</w:t>
      </w:r>
    </w:p>
    <w:p w:rsidR="00995F96" w:rsidRPr="00995F96" w:rsidRDefault="00995F96" w:rsidP="00995F96">
      <w:pPr>
        <w:pBdr>
          <w:top w:val="nil"/>
          <w:left w:val="nil"/>
          <w:bottom w:val="nil"/>
          <w:right w:val="nil"/>
          <w:between w:val="nil"/>
        </w:pBdr>
        <w:tabs>
          <w:tab w:val="left" w:pos="866"/>
        </w:tabs>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b/>
          <w:bCs/>
          <w:color w:val="000000"/>
        </w:rPr>
        <w:t>Son derechos de los Integrantes Pasivos:</w:t>
      </w:r>
      <w:r w:rsidRPr="00995F96">
        <w:rPr>
          <w:rFonts w:eastAsia="Calibri"/>
          <w:color w:val="000000"/>
        </w:rPr>
        <w:t xml:space="preserve"> Vicepresidente/a con excepción de asistir con voz y sin voto todos los antes mencionados, con excepción ser elegido para los cargos de la Mesa Ejecutiva.</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spacing w:line="240" w:lineRule="auto"/>
        <w:ind w:left="100"/>
        <w:jc w:val="both"/>
        <w:rPr>
          <w:b/>
          <w:bCs/>
        </w:rPr>
      </w:pPr>
      <w:r w:rsidRPr="00995F96">
        <w:rPr>
          <w:rFonts w:eastAsia="Calibri"/>
          <w:b/>
          <w:bCs/>
        </w:rPr>
        <w:t>Artículo 6. Deberes</w:t>
      </w:r>
    </w:p>
    <w:p w:rsidR="00995F96" w:rsidRPr="00995F96" w:rsidRDefault="00995F96" w:rsidP="00995F96">
      <w:pPr>
        <w:spacing w:line="240" w:lineRule="auto"/>
        <w:ind w:left="100"/>
        <w:jc w:val="both"/>
      </w:pPr>
      <w:r w:rsidRPr="00995F96">
        <w:rPr>
          <w:rFonts w:eastAsia="Calibri"/>
        </w:rPr>
        <w:t>Son deberes de los integrantes:</w:t>
      </w:r>
    </w:p>
    <w:p w:rsidR="00995F96" w:rsidRPr="00995F96" w:rsidRDefault="00995F96" w:rsidP="00995F96">
      <w:pPr>
        <w:widowControl w:val="0"/>
        <w:numPr>
          <w:ilvl w:val="0"/>
          <w:numId w:val="6"/>
        </w:numPr>
        <w:pBdr>
          <w:top w:val="nil"/>
          <w:left w:val="nil"/>
          <w:bottom w:val="nil"/>
          <w:right w:val="nil"/>
          <w:between w:val="nil"/>
        </w:pBdr>
        <w:tabs>
          <w:tab w:val="left" w:pos="821"/>
        </w:tabs>
        <w:spacing w:line="240" w:lineRule="auto"/>
        <w:ind w:hanging="361"/>
        <w:jc w:val="both"/>
        <w:rPr>
          <w:color w:val="000000"/>
        </w:rPr>
      </w:pPr>
      <w:r w:rsidRPr="00995F96">
        <w:rPr>
          <w:rFonts w:eastAsia="Calibri"/>
          <w:color w:val="000000"/>
        </w:rPr>
        <w:t>Respetar y cumplir los acuerdos adoptados por la Mesa Ejecutiva y las Asambleas.</w:t>
      </w:r>
    </w:p>
    <w:p w:rsidR="00995F96" w:rsidRPr="00995F96" w:rsidRDefault="00995F96" w:rsidP="00995F96">
      <w:pPr>
        <w:widowControl w:val="0"/>
        <w:numPr>
          <w:ilvl w:val="0"/>
          <w:numId w:val="6"/>
        </w:numPr>
        <w:pBdr>
          <w:top w:val="nil"/>
          <w:left w:val="nil"/>
          <w:bottom w:val="nil"/>
          <w:right w:val="nil"/>
          <w:between w:val="nil"/>
        </w:pBdr>
        <w:tabs>
          <w:tab w:val="left" w:pos="821"/>
          <w:tab w:val="left" w:pos="870"/>
          <w:tab w:val="left" w:pos="871"/>
        </w:tabs>
        <w:spacing w:line="240" w:lineRule="auto"/>
        <w:ind w:left="871" w:hanging="411"/>
        <w:jc w:val="both"/>
        <w:rPr>
          <w:color w:val="000000"/>
        </w:rPr>
      </w:pPr>
      <w:r w:rsidRPr="00995F96">
        <w:rPr>
          <w:rFonts w:eastAsia="Calibri"/>
          <w:color w:val="000000"/>
        </w:rPr>
        <w:t>No realizar gestiones en nombre del Plenario sin su consentimiento.</w:t>
      </w:r>
    </w:p>
    <w:p w:rsidR="00995F96" w:rsidRPr="00995F96" w:rsidRDefault="00995F96" w:rsidP="00995F96">
      <w:pPr>
        <w:widowControl w:val="0"/>
        <w:numPr>
          <w:ilvl w:val="0"/>
          <w:numId w:val="6"/>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No formar parte como integrantes de otras comisiones con los mismos o similares objetivos y ámbito territorial.</w:t>
      </w:r>
    </w:p>
    <w:p w:rsidR="00995F96" w:rsidRPr="00995F96" w:rsidRDefault="00995F96" w:rsidP="00995F96">
      <w:pPr>
        <w:widowControl w:val="0"/>
        <w:numPr>
          <w:ilvl w:val="0"/>
          <w:numId w:val="6"/>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Como integrante activo, en el caso de presentar la renuncia o una licencia a su cargo dentro de la comisión del barrio que representa, esta decisión, deberá ser informada de forma inmediata a la Dirección de las Comisiones Vecinales Municipal, quien deberá elevar un comunicado a la Mesa Ejecutiva del Plenario, siendo ésta la responsable de informar al resto de los integrantes del Plenario el cambio e incorporación de la nueva representación en la próxima reunión que se suscite. Asegurando de esta forma la representatividad del barrio dentro del Plenario de Comisiones Vecinales.</w:t>
      </w:r>
    </w:p>
    <w:p w:rsidR="00995F96" w:rsidRPr="00995F96" w:rsidRDefault="00995F96" w:rsidP="00995F96">
      <w:pPr>
        <w:widowControl w:val="0"/>
        <w:numPr>
          <w:ilvl w:val="0"/>
          <w:numId w:val="6"/>
        </w:numPr>
        <w:pBdr>
          <w:top w:val="nil"/>
          <w:left w:val="nil"/>
          <w:bottom w:val="nil"/>
          <w:right w:val="nil"/>
          <w:between w:val="nil"/>
        </w:pBdr>
        <w:tabs>
          <w:tab w:val="left" w:pos="821"/>
          <w:tab w:val="left" w:pos="870"/>
          <w:tab w:val="left" w:pos="871"/>
        </w:tabs>
        <w:spacing w:line="240" w:lineRule="auto"/>
        <w:jc w:val="both"/>
        <w:rPr>
          <w:color w:val="000000"/>
        </w:rPr>
      </w:pPr>
      <w:r w:rsidRPr="00995F96">
        <w:rPr>
          <w:rFonts w:eastAsia="Calibri"/>
          <w:color w:val="000000"/>
        </w:rPr>
        <w:t xml:space="preserve">En el caso de que un integrante activo o pasivo del Plenario realice actividades políticas partidaria, ya sea como candidato/a en una </w:t>
      </w:r>
      <w:r w:rsidRPr="00995F96">
        <w:rPr>
          <w:rFonts w:eastAsia="Calibri"/>
          <w:b/>
          <w:bCs/>
          <w:color w:val="000000"/>
        </w:rPr>
        <w:t>lista oficial</w:t>
      </w:r>
      <w:r w:rsidRPr="00995F96">
        <w:rPr>
          <w:rFonts w:eastAsia="Calibri"/>
          <w:color w:val="000000"/>
        </w:rPr>
        <w:t>, deberá automáticamente presentar la licencia mencionada en el punto anterior, dando cumplimiento a lo referido en el Art. 2 punto h) y a la ética que en este plenario reviste.</w:t>
      </w:r>
    </w:p>
    <w:p w:rsidR="00995F96" w:rsidRPr="00995F96" w:rsidRDefault="00995F96" w:rsidP="00995F96">
      <w:pPr>
        <w:pBdr>
          <w:top w:val="nil"/>
          <w:left w:val="nil"/>
          <w:bottom w:val="nil"/>
          <w:right w:val="nil"/>
          <w:between w:val="nil"/>
        </w:pBdr>
        <w:tabs>
          <w:tab w:val="left" w:pos="870"/>
          <w:tab w:val="left" w:pos="871"/>
        </w:tabs>
        <w:spacing w:line="240" w:lineRule="auto"/>
        <w:ind w:left="821"/>
        <w:jc w:val="both"/>
        <w:rPr>
          <w:color w:val="000000"/>
        </w:rPr>
      </w:pP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pPr>
      <w:r w:rsidRPr="00995F96">
        <w:rPr>
          <w:rFonts w:eastAsia="Calibri"/>
          <w:b/>
        </w:rPr>
        <w:t>Artículo 7.</w:t>
      </w:r>
      <w:r w:rsidRPr="00995F96">
        <w:rPr>
          <w:rFonts w:eastAsia="Calibri"/>
        </w:rPr>
        <w:t xml:space="preserve"> </w:t>
      </w:r>
      <w:r w:rsidRPr="00995F96">
        <w:rPr>
          <w:rFonts w:eastAsia="Calibri"/>
          <w:b/>
        </w:rPr>
        <w:t>Pérdida de la condición de integrante</w:t>
      </w:r>
    </w:p>
    <w:p w:rsidR="00995F96" w:rsidRPr="00995F96" w:rsidRDefault="00995F96" w:rsidP="00995F96">
      <w:pPr>
        <w:keepNext/>
        <w:keepLines/>
        <w:spacing w:line="240" w:lineRule="auto"/>
        <w:jc w:val="both"/>
        <w:outlineLvl w:val="0"/>
        <w:rPr>
          <w:b/>
          <w:bCs/>
        </w:rPr>
      </w:pPr>
      <w:r w:rsidRPr="00995F96">
        <w:rPr>
          <w:rFonts w:eastAsia="Calibri"/>
        </w:rPr>
        <w:t>Un integrante del Plenario perderá su condición de tal, cuando se verifiquen una o más de las causales enunciadas a continuación:</w:t>
      </w:r>
    </w:p>
    <w:p w:rsidR="00995F96" w:rsidRPr="00995F96" w:rsidRDefault="00995F96" w:rsidP="00995F96">
      <w:pPr>
        <w:widowControl w:val="0"/>
        <w:numPr>
          <w:ilvl w:val="0"/>
          <w:numId w:val="5"/>
        </w:numPr>
        <w:pBdr>
          <w:top w:val="nil"/>
          <w:left w:val="nil"/>
          <w:bottom w:val="nil"/>
          <w:right w:val="nil"/>
          <w:between w:val="nil"/>
        </w:pBdr>
        <w:tabs>
          <w:tab w:val="left" w:pos="821"/>
        </w:tabs>
        <w:spacing w:line="240" w:lineRule="auto"/>
        <w:ind w:hanging="361"/>
        <w:jc w:val="both"/>
        <w:rPr>
          <w:color w:val="000000"/>
        </w:rPr>
      </w:pPr>
      <w:r w:rsidRPr="00995F96">
        <w:rPr>
          <w:rFonts w:eastAsia="Calibri"/>
          <w:color w:val="000000"/>
        </w:rPr>
        <w:t>Renuncia voluntaria.</w:t>
      </w:r>
    </w:p>
    <w:p w:rsidR="00995F96" w:rsidRPr="00995F96" w:rsidRDefault="00995F96" w:rsidP="00995F96">
      <w:pPr>
        <w:widowControl w:val="0"/>
        <w:numPr>
          <w:ilvl w:val="0"/>
          <w:numId w:val="5"/>
        </w:numPr>
        <w:pBdr>
          <w:top w:val="nil"/>
          <w:left w:val="nil"/>
          <w:bottom w:val="nil"/>
          <w:right w:val="nil"/>
          <w:between w:val="nil"/>
        </w:pBdr>
        <w:tabs>
          <w:tab w:val="left" w:pos="821"/>
        </w:tabs>
        <w:spacing w:line="240" w:lineRule="auto"/>
        <w:ind w:hanging="361"/>
        <w:jc w:val="both"/>
        <w:rPr>
          <w:color w:val="000000"/>
        </w:rPr>
      </w:pPr>
      <w:r w:rsidRPr="00995F96">
        <w:rPr>
          <w:rFonts w:eastAsia="Calibri"/>
          <w:color w:val="000000"/>
        </w:rPr>
        <w:t>Ausentarse sin justificación a 4 asambleas consecutivas o 5 alternadas.</w:t>
      </w:r>
    </w:p>
    <w:p w:rsidR="00995F96" w:rsidRPr="00995F96" w:rsidRDefault="00995F96" w:rsidP="00995F96">
      <w:pPr>
        <w:widowControl w:val="0"/>
        <w:numPr>
          <w:ilvl w:val="0"/>
          <w:numId w:val="5"/>
        </w:numPr>
        <w:pBdr>
          <w:top w:val="nil"/>
          <w:left w:val="nil"/>
          <w:bottom w:val="nil"/>
          <w:right w:val="nil"/>
          <w:between w:val="nil"/>
        </w:pBdr>
        <w:tabs>
          <w:tab w:val="left" w:pos="821"/>
          <w:tab w:val="left" w:pos="870"/>
          <w:tab w:val="left" w:pos="871"/>
        </w:tabs>
        <w:spacing w:line="240" w:lineRule="auto"/>
        <w:ind w:hanging="361"/>
        <w:jc w:val="both"/>
        <w:rPr>
          <w:color w:val="000000"/>
        </w:rPr>
      </w:pPr>
      <w:r w:rsidRPr="00995F96">
        <w:rPr>
          <w:rFonts w:eastAsia="Calibri"/>
          <w:color w:val="000000"/>
        </w:rPr>
        <w:t>Cambio de Representante por designación de la Comisión Vecinal, solo podrá integrar el vicepresidente si hay renuncia o licencia debidamente presentada que actúe a mismo efecto en el barrio</w:t>
      </w:r>
      <w:r w:rsidRPr="00995F96">
        <w:rPr>
          <w:rFonts w:eastAsia="Calibri"/>
          <w:color w:val="FF0000"/>
        </w:rPr>
        <w:t>.</w:t>
      </w:r>
    </w:p>
    <w:p w:rsidR="00995F96" w:rsidRPr="00995F96" w:rsidRDefault="00995F96" w:rsidP="00995F96">
      <w:pPr>
        <w:widowControl w:val="0"/>
        <w:numPr>
          <w:ilvl w:val="0"/>
          <w:numId w:val="5"/>
        </w:numPr>
        <w:pBdr>
          <w:top w:val="nil"/>
          <w:left w:val="nil"/>
          <w:bottom w:val="nil"/>
          <w:right w:val="nil"/>
          <w:between w:val="nil"/>
        </w:pBdr>
        <w:tabs>
          <w:tab w:val="left" w:pos="821"/>
          <w:tab w:val="left" w:pos="870"/>
          <w:tab w:val="left" w:pos="871"/>
        </w:tabs>
        <w:spacing w:line="240" w:lineRule="auto"/>
        <w:ind w:left="871" w:hanging="361"/>
        <w:jc w:val="both"/>
        <w:rPr>
          <w:color w:val="000000"/>
        </w:rPr>
      </w:pPr>
      <w:r w:rsidRPr="00995F96">
        <w:rPr>
          <w:rFonts w:eastAsia="Calibri"/>
          <w:color w:val="000000"/>
        </w:rPr>
        <w:t>Incumplir cualquiera de las obligaciones estatutarias.</w:t>
      </w:r>
    </w:p>
    <w:p w:rsidR="00995F96" w:rsidRPr="00995F96" w:rsidRDefault="00995F96" w:rsidP="00995F96">
      <w:pPr>
        <w:keepNext/>
        <w:keepLines/>
        <w:spacing w:line="240" w:lineRule="auto"/>
        <w:jc w:val="both"/>
        <w:outlineLvl w:val="0"/>
      </w:pPr>
    </w:p>
    <w:p w:rsidR="00995F96" w:rsidRPr="00995F96" w:rsidRDefault="00995F96" w:rsidP="00995F96">
      <w:pPr>
        <w:keepNext/>
        <w:keepLines/>
        <w:spacing w:line="240" w:lineRule="auto"/>
        <w:jc w:val="both"/>
        <w:outlineLvl w:val="0"/>
        <w:rPr>
          <w:b/>
        </w:rPr>
      </w:pPr>
      <w:r w:rsidRPr="00995F96">
        <w:rPr>
          <w:rFonts w:eastAsia="Calibri"/>
          <w:b/>
          <w:u w:val="single"/>
        </w:rPr>
        <w:t>CAPÍTULO III:</w:t>
      </w:r>
      <w:r w:rsidRPr="00995F96">
        <w:rPr>
          <w:rFonts w:eastAsia="Calibri"/>
          <w:b/>
        </w:rPr>
        <w:t xml:space="preserve"> ORGANO DE GOBIERNO Y ADMINISTRACIÓN DE LA COMISIÓN</w:t>
      </w:r>
    </w:p>
    <w:p w:rsidR="00995F96" w:rsidRPr="00995F96" w:rsidRDefault="00995F96" w:rsidP="00995F96">
      <w:pPr>
        <w:keepNext/>
        <w:keepLines/>
        <w:spacing w:line="240" w:lineRule="auto"/>
        <w:ind w:firstLine="145"/>
        <w:jc w:val="both"/>
        <w:outlineLvl w:val="0"/>
        <w:rPr>
          <w:b/>
        </w:rPr>
      </w:pPr>
    </w:p>
    <w:p w:rsidR="00995F96" w:rsidRPr="00995F96" w:rsidRDefault="00995F96" w:rsidP="00995F96">
      <w:pPr>
        <w:keepNext/>
        <w:keepLines/>
        <w:spacing w:line="240" w:lineRule="auto"/>
        <w:jc w:val="both"/>
        <w:outlineLvl w:val="0"/>
        <w:rPr>
          <w:b/>
        </w:rPr>
      </w:pPr>
      <w:r w:rsidRPr="00995F96">
        <w:rPr>
          <w:rFonts w:eastAsia="Calibri"/>
          <w:b/>
        </w:rPr>
        <w:t>Artículo 8. Los órganos de gobierno y de administración son:</w:t>
      </w:r>
    </w:p>
    <w:p w:rsidR="00995F96" w:rsidRPr="00995F96" w:rsidRDefault="00995F96" w:rsidP="00995F96">
      <w:pPr>
        <w:widowControl w:val="0"/>
        <w:numPr>
          <w:ilvl w:val="0"/>
          <w:numId w:val="4"/>
        </w:numPr>
        <w:pBdr>
          <w:top w:val="nil"/>
          <w:left w:val="nil"/>
          <w:bottom w:val="nil"/>
          <w:right w:val="nil"/>
          <w:between w:val="nil"/>
        </w:pBdr>
        <w:tabs>
          <w:tab w:val="left" w:pos="677"/>
        </w:tabs>
        <w:spacing w:line="240" w:lineRule="auto"/>
        <w:ind w:hanging="217"/>
        <w:jc w:val="both"/>
        <w:rPr>
          <w:color w:val="000000"/>
        </w:rPr>
      </w:pPr>
      <w:r w:rsidRPr="00995F96">
        <w:rPr>
          <w:rFonts w:eastAsia="Calibri"/>
          <w:color w:val="000000"/>
        </w:rPr>
        <w:t>Asamblea Plenaria.</w:t>
      </w:r>
    </w:p>
    <w:p w:rsidR="00995F96" w:rsidRPr="00995F96" w:rsidRDefault="00995F96" w:rsidP="00995F96">
      <w:pPr>
        <w:widowControl w:val="0"/>
        <w:numPr>
          <w:ilvl w:val="0"/>
          <w:numId w:val="4"/>
        </w:numPr>
        <w:pBdr>
          <w:top w:val="nil"/>
          <w:left w:val="nil"/>
          <w:bottom w:val="nil"/>
          <w:right w:val="nil"/>
          <w:between w:val="nil"/>
        </w:pBdr>
        <w:tabs>
          <w:tab w:val="left" w:pos="677"/>
        </w:tabs>
        <w:spacing w:line="240" w:lineRule="auto"/>
        <w:ind w:hanging="217"/>
        <w:jc w:val="both"/>
        <w:rPr>
          <w:color w:val="000000"/>
        </w:rPr>
      </w:pPr>
      <w:r w:rsidRPr="00995F96">
        <w:rPr>
          <w:rFonts w:eastAsia="Calibri"/>
          <w:color w:val="000000"/>
        </w:rPr>
        <w:t>Mesa Ejecutiva.</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rPr>
      </w:pPr>
      <w:r w:rsidRPr="00995F96">
        <w:rPr>
          <w:rFonts w:eastAsia="Calibri"/>
          <w:b/>
        </w:rPr>
        <w:t>Artículo 9. Asamblea del Plenario</w:t>
      </w:r>
    </w:p>
    <w:p w:rsidR="00995F96" w:rsidRPr="00995F96" w:rsidRDefault="00995F96" w:rsidP="00995F96">
      <w:pPr>
        <w:keepNext/>
        <w:keepLines/>
        <w:spacing w:line="240" w:lineRule="auto"/>
        <w:jc w:val="both"/>
        <w:outlineLvl w:val="0"/>
        <w:rPr>
          <w:b/>
          <w:bCs/>
        </w:rPr>
      </w:pPr>
      <w:r w:rsidRPr="00995F96">
        <w:rPr>
          <w:rFonts w:eastAsia="Calibri"/>
        </w:rPr>
        <w:t>La Asamblea del Plenario (en adelante “</w:t>
      </w:r>
      <w:r w:rsidRPr="00995F96">
        <w:rPr>
          <w:rFonts w:eastAsia="Calibri"/>
          <w:caps/>
        </w:rPr>
        <w:t>la Asamblea</w:t>
      </w:r>
      <w:r w:rsidRPr="00995F96">
        <w:rPr>
          <w:rFonts w:eastAsia="Calibri"/>
        </w:rPr>
        <w:t>”), es el órgano representativo y deliberativo, integrado por todos los integrantes. El mismo será presidido por la Mesa Ejecutiva.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El quórum necesario para su celebración será de la mitad más uno de los integrantes registrados en el libro. En el caso que no se verifique el quórum exigido, y previo a una espera de 20 minutos, la Asamblea quedará válidamente constituida con la presencia del 10% de los presidentes.</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Sus decisiones se adoptarán por la simple mayoría de los presentes. Todos los presidentes/as tienen derecho de voz y de voto en la Asamblea.</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spacing w:line="240" w:lineRule="auto"/>
        <w:jc w:val="both"/>
        <w:rPr>
          <w:b/>
          <w:bCs/>
        </w:rPr>
      </w:pPr>
      <w:r w:rsidRPr="00995F96">
        <w:rPr>
          <w:rFonts w:eastAsia="Calibri"/>
          <w:b/>
          <w:bCs/>
        </w:rPr>
        <w:t>Artículo 10. Competencia de la Asamblea</w:t>
      </w:r>
    </w:p>
    <w:p w:rsidR="00995F96" w:rsidRPr="00995F96" w:rsidRDefault="00995F96" w:rsidP="00995F96">
      <w:pPr>
        <w:spacing w:line="240" w:lineRule="auto"/>
        <w:jc w:val="both"/>
      </w:pPr>
      <w:r w:rsidRPr="00995F96">
        <w:rPr>
          <w:rFonts w:eastAsia="Calibri"/>
        </w:rPr>
        <w:t>Será competencia y atribución de la Asamblea los siguientes:</w:t>
      </w:r>
    </w:p>
    <w:p w:rsidR="00995F96" w:rsidRPr="00995F96" w:rsidRDefault="00995F96" w:rsidP="00995F96">
      <w:pPr>
        <w:numPr>
          <w:ilvl w:val="0"/>
          <w:numId w:val="9"/>
        </w:numPr>
        <w:pBdr>
          <w:top w:val="nil"/>
          <w:left w:val="nil"/>
          <w:bottom w:val="nil"/>
          <w:right w:val="nil"/>
          <w:between w:val="nil"/>
        </w:pBdr>
        <w:spacing w:line="240" w:lineRule="auto"/>
        <w:ind w:left="993" w:hanging="579"/>
        <w:jc w:val="both"/>
        <w:rPr>
          <w:color w:val="000000"/>
        </w:rPr>
      </w:pPr>
      <w:r w:rsidRPr="00995F96">
        <w:rPr>
          <w:rFonts w:eastAsia="Calibri"/>
          <w:color w:val="000000"/>
        </w:rPr>
        <w:t>Elección de los miembros de Mesa Ejecutiva.</w:t>
      </w:r>
    </w:p>
    <w:p w:rsidR="00995F96" w:rsidRPr="00995F96" w:rsidRDefault="00995F96" w:rsidP="00995F96">
      <w:pPr>
        <w:numPr>
          <w:ilvl w:val="0"/>
          <w:numId w:val="9"/>
        </w:numPr>
        <w:pBdr>
          <w:top w:val="nil"/>
          <w:left w:val="nil"/>
          <w:bottom w:val="nil"/>
          <w:right w:val="nil"/>
          <w:between w:val="nil"/>
        </w:pBdr>
        <w:spacing w:line="240" w:lineRule="auto"/>
        <w:ind w:left="993" w:hanging="579"/>
        <w:jc w:val="both"/>
        <w:rPr>
          <w:color w:val="000000"/>
        </w:rPr>
      </w:pPr>
      <w:r w:rsidRPr="00995F96">
        <w:rPr>
          <w:rFonts w:eastAsia="Calibri"/>
          <w:color w:val="000000"/>
        </w:rPr>
        <w:t>Modificación del Estatuto.</w:t>
      </w:r>
    </w:p>
    <w:p w:rsidR="00995F96" w:rsidRPr="00995F96" w:rsidRDefault="00995F96" w:rsidP="00995F96">
      <w:pPr>
        <w:numPr>
          <w:ilvl w:val="0"/>
          <w:numId w:val="9"/>
        </w:numPr>
        <w:pBdr>
          <w:top w:val="nil"/>
          <w:left w:val="nil"/>
          <w:bottom w:val="nil"/>
          <w:right w:val="nil"/>
          <w:between w:val="nil"/>
        </w:pBdr>
        <w:tabs>
          <w:tab w:val="left" w:pos="555"/>
        </w:tabs>
        <w:spacing w:line="240" w:lineRule="auto"/>
        <w:ind w:left="993" w:hanging="579"/>
        <w:jc w:val="both"/>
        <w:rPr>
          <w:color w:val="000000"/>
        </w:rPr>
      </w:pPr>
      <w:r w:rsidRPr="00995F96">
        <w:rPr>
          <w:rFonts w:eastAsia="Calibri"/>
          <w:color w:val="000000"/>
        </w:rPr>
        <w:t>Disolución de la Mesa Ejecutiva.</w:t>
      </w:r>
    </w:p>
    <w:p w:rsidR="00995F96" w:rsidRPr="00995F96" w:rsidRDefault="00995F96" w:rsidP="00995F96">
      <w:pPr>
        <w:numPr>
          <w:ilvl w:val="0"/>
          <w:numId w:val="9"/>
        </w:numPr>
        <w:pBdr>
          <w:top w:val="nil"/>
          <w:left w:val="nil"/>
          <w:bottom w:val="nil"/>
          <w:right w:val="nil"/>
          <w:between w:val="nil"/>
        </w:pBdr>
        <w:spacing w:line="240" w:lineRule="auto"/>
        <w:ind w:left="993" w:hanging="579"/>
        <w:jc w:val="both"/>
        <w:rPr>
          <w:color w:val="000000"/>
        </w:rPr>
      </w:pPr>
      <w:r w:rsidRPr="00995F96">
        <w:rPr>
          <w:rFonts w:eastAsia="Calibri"/>
          <w:color w:val="000000"/>
        </w:rPr>
        <w:t>Adquisición y enajenación de bienes.</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Asamblea llevará un Libro de Acta y asistencia en el cual serán incorporados los acuerdos y resoluciones que se adopten en la Asamblea. Los acuerdos se adoptarán por simple mayoría de los socios presentes.</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Asamblea funcionará en reuniones ordinarias y extraordinarias, las reuniones ordinarias deberán ser convocadas y notificadas fehacientemente con diez días de anticipación y las extraordinarias según la necesidad.</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rPr>
      </w:pPr>
      <w:r w:rsidRPr="00995F96">
        <w:rPr>
          <w:rFonts w:eastAsia="Calibri"/>
          <w:b/>
        </w:rPr>
        <w:t>Artículo 11. Mesa Ejecutiva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Podrá formar parte de la MESA EJECUTIVA cualquier integrante activo debidamente vigente y acreditado mediante el Decreto Municipal y acta de asunción de autoridades. Todos los cargos son honoríficos y voluntarios. No podrán formar parte de la mesa si no formaron parte del plenario en los últimos seis (6) meses.</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spacing w:line="240" w:lineRule="auto"/>
        <w:jc w:val="both"/>
        <w:rPr>
          <w:b/>
          <w:bCs/>
        </w:rPr>
      </w:pPr>
      <w:r w:rsidRPr="00995F96">
        <w:rPr>
          <w:rFonts w:eastAsia="Calibri"/>
          <w:b/>
          <w:bCs/>
        </w:rPr>
        <w:t>Artículo 12. Integrantes de la Mesa Ejecutiva</w:t>
      </w:r>
    </w:p>
    <w:p w:rsidR="00995F96" w:rsidRPr="00995F96" w:rsidRDefault="00995F96" w:rsidP="00995F96">
      <w:pPr>
        <w:spacing w:line="240" w:lineRule="auto"/>
        <w:jc w:val="both"/>
        <w:rPr>
          <w:b/>
          <w:bCs/>
        </w:rPr>
      </w:pPr>
      <w:r w:rsidRPr="00995F96">
        <w:rPr>
          <w:rFonts w:eastAsia="Calibri"/>
        </w:rPr>
        <w:t>Los integrantes de la Mesa Ejecutiva tendrán las siguientes funciones:</w:t>
      </w:r>
    </w:p>
    <w:p w:rsidR="00995F96" w:rsidRPr="00995F96" w:rsidRDefault="00995F96" w:rsidP="00995F96">
      <w:pPr>
        <w:widowControl w:val="0"/>
        <w:numPr>
          <w:ilvl w:val="0"/>
          <w:numId w:val="3"/>
        </w:numPr>
        <w:pBdr>
          <w:top w:val="nil"/>
          <w:left w:val="nil"/>
          <w:bottom w:val="nil"/>
          <w:right w:val="nil"/>
          <w:between w:val="nil"/>
        </w:pBdr>
        <w:tabs>
          <w:tab w:val="left" w:pos="506"/>
        </w:tabs>
        <w:spacing w:line="240" w:lineRule="auto"/>
        <w:ind w:left="505"/>
        <w:jc w:val="both"/>
        <w:rPr>
          <w:color w:val="000000"/>
        </w:rPr>
      </w:pPr>
      <w:r w:rsidRPr="00995F96">
        <w:rPr>
          <w:rFonts w:eastAsia="Calibri"/>
          <w:color w:val="000000"/>
        </w:rPr>
        <w:t>Representar al Plenario de Comisiones Vecinales del Partido de Azul.</w:t>
      </w:r>
    </w:p>
    <w:p w:rsidR="00995F96" w:rsidRPr="00995F96" w:rsidRDefault="00995F96" w:rsidP="00995F96">
      <w:pPr>
        <w:widowControl w:val="0"/>
        <w:numPr>
          <w:ilvl w:val="0"/>
          <w:numId w:val="3"/>
        </w:numPr>
        <w:pBdr>
          <w:top w:val="nil"/>
          <w:left w:val="nil"/>
          <w:bottom w:val="nil"/>
          <w:right w:val="nil"/>
          <w:between w:val="nil"/>
        </w:pBdr>
        <w:tabs>
          <w:tab w:val="left" w:pos="506"/>
          <w:tab w:val="left" w:pos="555"/>
          <w:tab w:val="left" w:pos="556"/>
        </w:tabs>
        <w:spacing w:line="240" w:lineRule="auto"/>
        <w:ind w:left="556" w:hanging="411"/>
        <w:jc w:val="both"/>
        <w:rPr>
          <w:color w:val="000000"/>
        </w:rPr>
      </w:pPr>
      <w:r w:rsidRPr="00995F96">
        <w:rPr>
          <w:rFonts w:eastAsia="Calibri"/>
          <w:color w:val="000000"/>
        </w:rPr>
        <w:t>Presidir las asambleas, las Comisiones, ordenar y dirigir los debates y deliberaciones.</w:t>
      </w:r>
    </w:p>
    <w:p w:rsidR="00995F96" w:rsidRPr="00995F96" w:rsidRDefault="00995F96" w:rsidP="00995F96">
      <w:pPr>
        <w:widowControl w:val="0"/>
        <w:numPr>
          <w:ilvl w:val="0"/>
          <w:numId w:val="3"/>
        </w:numPr>
        <w:pBdr>
          <w:top w:val="nil"/>
          <w:left w:val="nil"/>
          <w:bottom w:val="nil"/>
          <w:right w:val="nil"/>
          <w:between w:val="nil"/>
        </w:pBdr>
        <w:tabs>
          <w:tab w:val="left" w:pos="506"/>
        </w:tabs>
        <w:spacing w:line="240" w:lineRule="auto"/>
        <w:ind w:hanging="361"/>
        <w:jc w:val="both"/>
        <w:rPr>
          <w:color w:val="000000"/>
        </w:rPr>
      </w:pPr>
      <w:r w:rsidRPr="00995F96">
        <w:rPr>
          <w:rFonts w:eastAsia="Calibri"/>
          <w:color w:val="000000"/>
        </w:rPr>
        <w:t>Convocar la Asamblea del Plenario.</w:t>
      </w:r>
    </w:p>
    <w:p w:rsidR="00995F96" w:rsidRPr="00995F96" w:rsidRDefault="00995F96" w:rsidP="00995F96">
      <w:pPr>
        <w:widowControl w:val="0"/>
        <w:numPr>
          <w:ilvl w:val="0"/>
          <w:numId w:val="3"/>
        </w:numPr>
        <w:pBdr>
          <w:top w:val="nil"/>
          <w:left w:val="nil"/>
          <w:bottom w:val="nil"/>
          <w:right w:val="nil"/>
          <w:between w:val="nil"/>
        </w:pBdr>
        <w:tabs>
          <w:tab w:val="left" w:pos="506"/>
        </w:tabs>
        <w:spacing w:line="240" w:lineRule="auto"/>
        <w:ind w:left="505"/>
        <w:jc w:val="both"/>
        <w:rPr>
          <w:color w:val="000000"/>
        </w:rPr>
      </w:pPr>
      <w:r w:rsidRPr="00995F96">
        <w:rPr>
          <w:rFonts w:eastAsia="Calibri"/>
          <w:color w:val="000000"/>
        </w:rPr>
        <w:t>Autorizar con su firma toda clase de documentos que se produzcan en las Asambleas del Plenario.</w:t>
      </w:r>
    </w:p>
    <w:p w:rsidR="00995F96" w:rsidRPr="00995F96" w:rsidRDefault="00995F96" w:rsidP="00995F96">
      <w:pPr>
        <w:pBdr>
          <w:top w:val="nil"/>
          <w:left w:val="nil"/>
          <w:bottom w:val="nil"/>
          <w:right w:val="nil"/>
          <w:between w:val="nil"/>
        </w:pBdr>
        <w:spacing w:line="240" w:lineRule="auto"/>
        <w:ind w:left="145"/>
        <w:jc w:val="both"/>
        <w:rPr>
          <w:b/>
          <w:bCs/>
          <w:color w:val="000000"/>
        </w:rPr>
      </w:pPr>
    </w:p>
    <w:p w:rsidR="00995F96" w:rsidRPr="00995F96" w:rsidRDefault="00995F96" w:rsidP="00995F96">
      <w:pPr>
        <w:spacing w:line="240" w:lineRule="auto"/>
        <w:ind w:left="145"/>
        <w:jc w:val="both"/>
      </w:pPr>
      <w:r w:rsidRPr="00995F96">
        <w:rPr>
          <w:rFonts w:eastAsia="Calibri"/>
          <w:b/>
          <w:bCs/>
        </w:rPr>
        <w:t>Artículo 13</w:t>
      </w:r>
      <w:r w:rsidRPr="00995F96">
        <w:rPr>
          <w:rFonts w:eastAsia="Calibri"/>
        </w:rPr>
        <w:t xml:space="preserve">. </w:t>
      </w:r>
      <w:r w:rsidRPr="00995F96">
        <w:rPr>
          <w:rFonts w:eastAsia="Calibri"/>
          <w:b/>
          <w:bCs/>
        </w:rPr>
        <w:t>Funciones de la Mesa Ejecutiva</w:t>
      </w:r>
    </w:p>
    <w:p w:rsidR="00995F96" w:rsidRPr="00995F96" w:rsidRDefault="00995F96" w:rsidP="00995F96">
      <w:pPr>
        <w:spacing w:line="240" w:lineRule="auto"/>
        <w:ind w:left="145"/>
        <w:jc w:val="both"/>
      </w:pPr>
      <w:r w:rsidRPr="00995F96">
        <w:rPr>
          <w:rFonts w:eastAsia="Calibri"/>
        </w:rPr>
        <w:t>Serán funciones de la Mesa Ejecutiva:</w:t>
      </w:r>
    </w:p>
    <w:p w:rsidR="00995F96" w:rsidRPr="00995F96" w:rsidRDefault="00995F96" w:rsidP="00995F96">
      <w:pPr>
        <w:numPr>
          <w:ilvl w:val="0"/>
          <w:numId w:val="10"/>
        </w:numPr>
        <w:spacing w:line="240" w:lineRule="auto"/>
        <w:jc w:val="both"/>
      </w:pPr>
      <w:r w:rsidRPr="00995F96">
        <w:rPr>
          <w:rFonts w:eastAsia="Calibri"/>
        </w:rPr>
        <w:t>Convocar, fijar fecha y comunicar la realización de la Asamblea del Plenario.</w:t>
      </w:r>
    </w:p>
    <w:p w:rsidR="00995F96" w:rsidRPr="00995F96" w:rsidRDefault="00995F96" w:rsidP="00995F96">
      <w:pPr>
        <w:widowControl w:val="0"/>
        <w:numPr>
          <w:ilvl w:val="0"/>
          <w:numId w:val="10"/>
        </w:numPr>
        <w:pBdr>
          <w:top w:val="nil"/>
          <w:left w:val="nil"/>
          <w:bottom w:val="nil"/>
          <w:right w:val="nil"/>
          <w:between w:val="nil"/>
        </w:pBdr>
        <w:tabs>
          <w:tab w:val="left" w:pos="506"/>
        </w:tabs>
        <w:spacing w:line="240" w:lineRule="auto"/>
        <w:jc w:val="both"/>
        <w:rPr>
          <w:color w:val="000000"/>
        </w:rPr>
      </w:pPr>
      <w:r w:rsidRPr="00995F96">
        <w:rPr>
          <w:rFonts w:eastAsia="Calibri"/>
          <w:color w:val="000000"/>
        </w:rPr>
        <w:t>Proponer el orden del día con los temas a tratar en cada Asamblea.</w:t>
      </w:r>
    </w:p>
    <w:p w:rsidR="00995F96" w:rsidRPr="00995F96" w:rsidRDefault="00995F96" w:rsidP="00995F96">
      <w:pPr>
        <w:widowControl w:val="0"/>
        <w:numPr>
          <w:ilvl w:val="0"/>
          <w:numId w:val="10"/>
        </w:numPr>
        <w:pBdr>
          <w:top w:val="nil"/>
          <w:left w:val="nil"/>
          <w:bottom w:val="nil"/>
          <w:right w:val="nil"/>
          <w:between w:val="nil"/>
        </w:pBdr>
        <w:tabs>
          <w:tab w:val="left" w:pos="506"/>
        </w:tabs>
        <w:spacing w:line="240" w:lineRule="auto"/>
        <w:jc w:val="both"/>
        <w:rPr>
          <w:color w:val="000000"/>
        </w:rPr>
      </w:pPr>
      <w:r w:rsidRPr="00995F96">
        <w:rPr>
          <w:rFonts w:eastAsia="Calibri"/>
          <w:color w:val="000000"/>
        </w:rPr>
        <w:t>Custodiar los Libros y Documentos del Plenario.</w:t>
      </w:r>
    </w:p>
    <w:p w:rsidR="00995F96" w:rsidRPr="00995F96" w:rsidRDefault="00995F96" w:rsidP="00995F96">
      <w:pPr>
        <w:widowControl w:val="0"/>
        <w:numPr>
          <w:ilvl w:val="0"/>
          <w:numId w:val="10"/>
        </w:numPr>
        <w:pBdr>
          <w:top w:val="nil"/>
          <w:left w:val="nil"/>
          <w:bottom w:val="nil"/>
          <w:right w:val="nil"/>
          <w:between w:val="nil"/>
        </w:pBdr>
        <w:tabs>
          <w:tab w:val="left" w:pos="709"/>
        </w:tabs>
        <w:spacing w:line="240" w:lineRule="auto"/>
        <w:jc w:val="both"/>
        <w:rPr>
          <w:color w:val="000000"/>
        </w:rPr>
      </w:pPr>
      <w:r w:rsidRPr="00995F96">
        <w:rPr>
          <w:rFonts w:eastAsia="Calibri"/>
          <w:color w:val="000000"/>
        </w:rPr>
        <w:t>Designar comisiones de trabajo y a sus responsables.</w:t>
      </w:r>
    </w:p>
    <w:p w:rsidR="00995F96" w:rsidRPr="00995F96" w:rsidRDefault="00995F96" w:rsidP="00995F96">
      <w:pPr>
        <w:widowControl w:val="0"/>
        <w:numPr>
          <w:ilvl w:val="0"/>
          <w:numId w:val="10"/>
        </w:numPr>
        <w:pBdr>
          <w:top w:val="nil"/>
          <w:left w:val="nil"/>
          <w:bottom w:val="nil"/>
          <w:right w:val="nil"/>
          <w:between w:val="nil"/>
        </w:pBdr>
        <w:tabs>
          <w:tab w:val="left" w:pos="506"/>
        </w:tabs>
        <w:spacing w:line="240" w:lineRule="auto"/>
        <w:jc w:val="both"/>
        <w:rPr>
          <w:color w:val="000000"/>
        </w:rPr>
      </w:pPr>
      <w:r w:rsidRPr="00995F96">
        <w:rPr>
          <w:rFonts w:eastAsia="Calibri"/>
          <w:color w:val="000000"/>
        </w:rPr>
        <w:t>Implementar y ejecutar los proyectos comunes de los integrantes, previa aprobación de los mismos en Asamblea.</w:t>
      </w:r>
    </w:p>
    <w:p w:rsidR="00995F96" w:rsidRPr="00995F96" w:rsidRDefault="00995F96" w:rsidP="00995F96">
      <w:pPr>
        <w:widowControl w:val="0"/>
        <w:numPr>
          <w:ilvl w:val="0"/>
          <w:numId w:val="10"/>
        </w:numPr>
        <w:pBdr>
          <w:top w:val="nil"/>
          <w:left w:val="nil"/>
          <w:bottom w:val="nil"/>
          <w:right w:val="nil"/>
          <w:between w:val="nil"/>
        </w:pBdr>
        <w:tabs>
          <w:tab w:val="left" w:pos="709"/>
        </w:tabs>
        <w:spacing w:line="240" w:lineRule="auto"/>
        <w:jc w:val="both"/>
        <w:rPr>
          <w:color w:val="000000"/>
        </w:rPr>
      </w:pPr>
      <w:r w:rsidRPr="00995F96">
        <w:rPr>
          <w:rFonts w:eastAsia="Calibri"/>
          <w:color w:val="000000"/>
        </w:rPr>
        <w:t>Redactar memoria Anual de Actividades del Plenario.</w:t>
      </w:r>
    </w:p>
    <w:p w:rsidR="00995F96" w:rsidRPr="00995F96" w:rsidRDefault="00995F96" w:rsidP="00995F96">
      <w:pPr>
        <w:widowControl w:val="0"/>
        <w:numPr>
          <w:ilvl w:val="0"/>
          <w:numId w:val="10"/>
        </w:numPr>
        <w:pBdr>
          <w:top w:val="nil"/>
          <w:left w:val="nil"/>
          <w:bottom w:val="nil"/>
          <w:right w:val="nil"/>
          <w:between w:val="nil"/>
        </w:pBdr>
        <w:tabs>
          <w:tab w:val="left" w:pos="506"/>
        </w:tabs>
        <w:spacing w:line="240" w:lineRule="auto"/>
        <w:jc w:val="both"/>
        <w:rPr>
          <w:color w:val="000000"/>
        </w:rPr>
      </w:pPr>
      <w:r w:rsidRPr="00995F96">
        <w:rPr>
          <w:rFonts w:eastAsia="Calibri"/>
          <w:color w:val="000000"/>
        </w:rPr>
        <w:t>Mantener permanentemente actualizados los libros de la Comisión, a saber: 1 Libro de asistencia de integrantes a las asambleas y 1 Libro de Actas de Asambleas. Todos los Libros deberán estar foliados y rubricados por un miembro de la Mesa Ejecutiva.</w:t>
      </w:r>
    </w:p>
    <w:p w:rsidR="00995F96" w:rsidRPr="00995F96" w:rsidRDefault="00995F96" w:rsidP="00995F96">
      <w:pPr>
        <w:widowControl w:val="0"/>
        <w:numPr>
          <w:ilvl w:val="0"/>
          <w:numId w:val="10"/>
        </w:numPr>
        <w:pBdr>
          <w:top w:val="nil"/>
          <w:left w:val="nil"/>
          <w:bottom w:val="nil"/>
          <w:right w:val="nil"/>
          <w:between w:val="nil"/>
        </w:pBdr>
        <w:tabs>
          <w:tab w:val="left" w:pos="506"/>
        </w:tabs>
        <w:spacing w:line="240" w:lineRule="auto"/>
        <w:jc w:val="both"/>
        <w:rPr>
          <w:color w:val="000000"/>
        </w:rPr>
      </w:pPr>
      <w:r w:rsidRPr="00995F96">
        <w:rPr>
          <w:rFonts w:eastAsia="Calibri"/>
          <w:color w:val="000000"/>
        </w:rPr>
        <w:t xml:space="preserve">Comunicar, en reunión o asamblea oportunamente, al resto de los integrantes del Plenario el cambio e incorporación de una nueva representación, en el caso de que un integrante activo o pasivo renuncie o tome licencia de su cargo dentro de la comisión del </w:t>
      </w:r>
      <w:proofErr w:type="spellStart"/>
      <w:r w:rsidRPr="00995F96">
        <w:rPr>
          <w:rFonts w:eastAsia="Calibri"/>
          <w:color w:val="000000"/>
        </w:rPr>
        <w:t>bario</w:t>
      </w:r>
      <w:proofErr w:type="spellEnd"/>
      <w:r w:rsidRPr="00995F96">
        <w:rPr>
          <w:rFonts w:eastAsia="Calibri"/>
          <w:color w:val="000000"/>
        </w:rPr>
        <w:t xml:space="preserve"> que representa. </w:t>
      </w:r>
    </w:p>
    <w:p w:rsidR="00995F96" w:rsidRPr="00995F96" w:rsidRDefault="00995F96" w:rsidP="00995F96">
      <w:pPr>
        <w:widowControl w:val="0"/>
        <w:numPr>
          <w:ilvl w:val="0"/>
          <w:numId w:val="10"/>
        </w:numPr>
        <w:pBdr>
          <w:top w:val="nil"/>
          <w:left w:val="nil"/>
          <w:bottom w:val="nil"/>
          <w:right w:val="nil"/>
          <w:between w:val="nil"/>
        </w:pBdr>
        <w:tabs>
          <w:tab w:val="left" w:pos="709"/>
        </w:tabs>
        <w:spacing w:line="240" w:lineRule="auto"/>
        <w:jc w:val="both"/>
        <w:rPr>
          <w:color w:val="000000"/>
        </w:rPr>
      </w:pPr>
      <w:r w:rsidRPr="00995F96">
        <w:rPr>
          <w:rFonts w:eastAsia="Calibri"/>
          <w:color w:val="000000"/>
        </w:rPr>
        <w:t>Observar un trato respetuoso con los integrantes, y adoptar acciones que promuevan la paz social, el respeto por el medio ambiente y la buena convivencia entre los vecinos y vecinas. Las funciones serán en total acuerdo con las disposiciones y directivas que emanen de la Asamblea del Plenario.</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spacing w:line="240" w:lineRule="auto"/>
        <w:jc w:val="both"/>
        <w:rPr>
          <w:b/>
          <w:bCs/>
        </w:rPr>
      </w:pPr>
      <w:r w:rsidRPr="00995F96">
        <w:rPr>
          <w:rFonts w:eastAsia="Calibri"/>
          <w:b/>
          <w:bCs/>
        </w:rPr>
        <w:t>Artículo 14. Duración de la Mesa Ejecutiva</w:t>
      </w:r>
    </w:p>
    <w:p w:rsidR="00995F96" w:rsidRPr="00995F96" w:rsidRDefault="00995F96" w:rsidP="00995F96">
      <w:pPr>
        <w:spacing w:line="240" w:lineRule="auto"/>
        <w:jc w:val="both"/>
      </w:pPr>
      <w:r w:rsidRPr="00995F96">
        <w:rPr>
          <w:rFonts w:eastAsia="Calibri"/>
        </w:rPr>
        <w:t>La duración de los cargos de la Mesa Ejecutiva será de dos (2) años, pudiendo sus miembros ser re-electos por otro período igual.</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renovación de los miembros de la Mesa Ejecutiva se activa al final del mandato se entiende como un valor a promover y ejercer, el cual se torna factible sólo con la participación responsable y el compromiso de todos sus integrantes.</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rFonts w:eastAsia="Calibri"/>
          <w:b/>
          <w:bCs/>
          <w:color w:val="000000"/>
        </w:rPr>
      </w:pPr>
      <w:r w:rsidRPr="00995F96">
        <w:rPr>
          <w:rFonts w:eastAsia="Calibri"/>
          <w:b/>
          <w:bCs/>
          <w:color w:val="000000"/>
        </w:rPr>
        <w:t xml:space="preserve">Artículo 15. Dimisión de la Mesa Ejecutiva </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Si la Mesa Ejecutiva renuncia de manera masiva a sus funciones, se deberá convocar a los integrantes a Asamblea extraordinaria, con el doble objeto de comunicar la dimisión colectiva y proceder a la elección de una nueva Comisión Directiva.</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bCs/>
        </w:rPr>
      </w:pPr>
      <w:r w:rsidRPr="00995F96">
        <w:rPr>
          <w:rFonts w:eastAsia="Calibri"/>
          <w:b/>
          <w:u w:val="single"/>
        </w:rPr>
        <w:t>CAPÍTULO IV:</w:t>
      </w:r>
      <w:r w:rsidRPr="00995F96">
        <w:rPr>
          <w:rFonts w:eastAsia="Calibri"/>
          <w:b/>
        </w:rPr>
        <w:t xml:space="preserve"> SISTEMA DE ELECCIONES</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16</w:t>
      </w:r>
      <w:r w:rsidRPr="00995F96">
        <w:rPr>
          <w:rFonts w:eastAsia="Calibri"/>
          <w:color w:val="000000"/>
        </w:rPr>
        <w:t xml:space="preserve">. </w:t>
      </w:r>
      <w:r w:rsidRPr="00995F96">
        <w:rPr>
          <w:rFonts w:eastAsia="Calibri"/>
          <w:b/>
          <w:bCs/>
          <w:color w:val="000000"/>
        </w:rPr>
        <w:t>El proceso de elecciones</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Dará comienzo un mes antes de la finalización del mandato de la Mesa Ejecutiva en ejercicio. A tal efecto la Mesa Ejecutiva comunicará con dicha antelación a todos los integrantes la apertura del proceso electoral, para presentar las candidaturas en lista.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Mesa Ejecutiva vigilará que todos los candidatos y listas propuestos cumplan con los requisitos del Artículo 11.</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17. Votación</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votación para formar la nueva Mesa Ejecutiva será con votos con el nombre de los 5 (cinco) más los 2 (dos) siguientes como suplentes. El derecho a voto es personal, no se admitirá el voto mediante representante. A cada integrante se le contabilizará un solo voto.</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Efectuado el recuento, el presidente de la asamblea Ejecutiva saliente proclamará los candidatos electos, registrando debidamente en el libro de Actas de Asamblea el acto eleccionario.</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rPr>
      </w:pPr>
      <w:r w:rsidRPr="00995F96">
        <w:rPr>
          <w:rFonts w:eastAsia="Calibri"/>
          <w:b/>
          <w:u w:val="single"/>
        </w:rPr>
        <w:t>CAPÍTULO V:</w:t>
      </w:r>
      <w:r w:rsidRPr="00995F96">
        <w:rPr>
          <w:rFonts w:eastAsia="Calibri"/>
          <w:b/>
        </w:rPr>
        <w:t xml:space="preserve"> DISOLUCIÓN</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18. De la disolución del Plenario de Comisiones Vecinales</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Se disolverá por acuerdo adoptado en los términos de la mayoría, actuando la última Mesa Ejecutiva como comisión liquidadora que entregará su legado, previa extinción de toda deuda y carga. Se designará a una Comisión Vecinal que será quien podrá disponer de los bienes y recursos del Plenario disuelto, en tenencia provisoria por seis (6) meses hasta la conformación de una nueva Mesa Ejecutiva, pasado ese lapso y no habiéndose formado una nueva Mesa ejecutiva, la Comisión designada podrá disponer de los bienes o cediéndolo a otras Comisiones Vecinales por sorteo.</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disolución de este Plenario no implica impedimento alguno a los integrantes para la creación de uno nuevo.</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keepNext/>
        <w:keepLines/>
        <w:spacing w:line="240" w:lineRule="auto"/>
        <w:jc w:val="both"/>
        <w:outlineLvl w:val="0"/>
        <w:rPr>
          <w:b/>
        </w:rPr>
      </w:pPr>
      <w:r w:rsidRPr="00995F96">
        <w:rPr>
          <w:rFonts w:eastAsia="Calibri"/>
          <w:b/>
          <w:u w:val="single"/>
        </w:rPr>
        <w:t>CAPÍTULO VI:</w:t>
      </w:r>
      <w:r w:rsidRPr="00995F96">
        <w:rPr>
          <w:rFonts w:eastAsia="Calibri"/>
          <w:b/>
        </w:rPr>
        <w:t xml:space="preserve"> Instancia previa a su Constitución</w:t>
      </w:r>
    </w:p>
    <w:p w:rsidR="00995F96" w:rsidRPr="00995F96" w:rsidRDefault="00995F96" w:rsidP="00995F96">
      <w:pPr>
        <w:pBdr>
          <w:top w:val="nil"/>
          <w:left w:val="nil"/>
          <w:bottom w:val="nil"/>
          <w:right w:val="nil"/>
          <w:between w:val="nil"/>
        </w:pBdr>
        <w:spacing w:line="240" w:lineRule="auto"/>
        <w:jc w:val="both"/>
        <w:rPr>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 xml:space="preserve">Normas transitorias DE LA CREACIÓN DEL PLENARIO DE COMISIONES VECINALES </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21. Presentación de la Junta Promotora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Se deberá presentar una Junta Promotora compuesta de cinco (5) miembros titulares y dos (2) suplentes, a los fines de la creación del Plenario de Comisiones Vecinales, debiendo realizar las gestiones pertinentes en el HCD y la Municipalidad de Azul realizando la siguiente documentación:</w:t>
      </w:r>
    </w:p>
    <w:p w:rsidR="00995F96" w:rsidRPr="00995F96" w:rsidRDefault="00995F96" w:rsidP="00995F96">
      <w:pPr>
        <w:pBdr>
          <w:top w:val="nil"/>
          <w:left w:val="nil"/>
          <w:bottom w:val="nil"/>
          <w:right w:val="nil"/>
          <w:between w:val="nil"/>
        </w:pBdr>
        <w:spacing w:line="240" w:lineRule="auto"/>
        <w:rPr>
          <w:color w:val="000000"/>
        </w:rPr>
      </w:pPr>
      <w:r w:rsidRPr="00995F96">
        <w:rPr>
          <w:rFonts w:eastAsia="Calibri"/>
          <w:color w:val="000000"/>
        </w:rPr>
        <w:t xml:space="preserve">Nota solicitando reconocimiento del Plenario de Comisiones Vecinales </w:t>
      </w:r>
    </w:p>
    <w:p w:rsidR="00995F96" w:rsidRPr="00995F96" w:rsidRDefault="00995F96" w:rsidP="00995F96">
      <w:pPr>
        <w:widowControl w:val="0"/>
        <w:numPr>
          <w:ilvl w:val="0"/>
          <w:numId w:val="1"/>
        </w:numPr>
        <w:pBdr>
          <w:top w:val="nil"/>
          <w:left w:val="nil"/>
          <w:bottom w:val="nil"/>
          <w:right w:val="nil"/>
          <w:between w:val="nil"/>
        </w:pBdr>
        <w:tabs>
          <w:tab w:val="left" w:pos="851"/>
        </w:tabs>
        <w:spacing w:line="240" w:lineRule="auto"/>
        <w:ind w:left="851" w:hanging="429"/>
        <w:jc w:val="both"/>
        <w:rPr>
          <w:color w:val="000000"/>
        </w:rPr>
      </w:pPr>
      <w:proofErr w:type="spellStart"/>
      <w:r w:rsidRPr="00995F96">
        <w:rPr>
          <w:rFonts w:eastAsia="Calibri"/>
          <w:color w:val="000000"/>
        </w:rPr>
        <w:t>Rubricación</w:t>
      </w:r>
      <w:proofErr w:type="spellEnd"/>
      <w:r w:rsidRPr="00995F96">
        <w:rPr>
          <w:rFonts w:eastAsia="Calibri"/>
          <w:color w:val="000000"/>
        </w:rPr>
        <w:t xml:space="preserve"> del Libro de Actas que será usado al efecto de dejar constancia de todo lo actuado por parte de la Junta Promotora.</w:t>
      </w:r>
    </w:p>
    <w:p w:rsidR="00995F96" w:rsidRPr="00995F96" w:rsidRDefault="00995F96" w:rsidP="00995F96">
      <w:pPr>
        <w:widowControl w:val="0"/>
        <w:numPr>
          <w:ilvl w:val="0"/>
          <w:numId w:val="1"/>
        </w:numPr>
        <w:pBdr>
          <w:top w:val="nil"/>
          <w:left w:val="nil"/>
          <w:bottom w:val="nil"/>
          <w:right w:val="nil"/>
          <w:between w:val="nil"/>
        </w:pBdr>
        <w:tabs>
          <w:tab w:val="left" w:pos="851"/>
        </w:tabs>
        <w:spacing w:line="240" w:lineRule="auto"/>
        <w:ind w:left="851" w:hanging="429"/>
        <w:jc w:val="both"/>
        <w:rPr>
          <w:color w:val="000000"/>
        </w:rPr>
      </w:pPr>
      <w:r w:rsidRPr="00995F96">
        <w:rPr>
          <w:rFonts w:eastAsia="Calibri"/>
          <w:color w:val="000000"/>
        </w:rPr>
        <w:t>Nómina de la Junta Promotora, especificando nombre, apellido, documento de identidad, fecha de nacimiento y domicilio real de cada uno de sus miembros designando entre ellos un representante legal.</w:t>
      </w:r>
    </w:p>
    <w:p w:rsidR="00995F96" w:rsidRPr="00995F96" w:rsidRDefault="00995F96" w:rsidP="00995F96">
      <w:pPr>
        <w:widowControl w:val="0"/>
        <w:numPr>
          <w:ilvl w:val="0"/>
          <w:numId w:val="1"/>
        </w:numPr>
        <w:pBdr>
          <w:top w:val="nil"/>
          <w:left w:val="nil"/>
          <w:bottom w:val="nil"/>
          <w:right w:val="nil"/>
          <w:between w:val="nil"/>
        </w:pBdr>
        <w:tabs>
          <w:tab w:val="left" w:pos="421"/>
          <w:tab w:val="left" w:pos="851"/>
        </w:tabs>
        <w:spacing w:line="240" w:lineRule="auto"/>
        <w:ind w:left="851" w:hanging="429"/>
        <w:jc w:val="both"/>
        <w:rPr>
          <w:color w:val="000000"/>
        </w:rPr>
      </w:pPr>
      <w:r w:rsidRPr="00995F96">
        <w:rPr>
          <w:rFonts w:eastAsia="Calibri"/>
          <w:color w:val="000000"/>
        </w:rPr>
        <w:t>Aval, mediante firma de por lo menos el 5% del padrón electoral de la jurisdicción propuesta.</w:t>
      </w:r>
    </w:p>
    <w:p w:rsidR="00995F96" w:rsidRPr="00995F96" w:rsidRDefault="00995F96" w:rsidP="00995F96">
      <w:pPr>
        <w:widowControl w:val="0"/>
        <w:numPr>
          <w:ilvl w:val="0"/>
          <w:numId w:val="1"/>
        </w:numPr>
        <w:pBdr>
          <w:top w:val="nil"/>
          <w:left w:val="nil"/>
          <w:bottom w:val="nil"/>
          <w:right w:val="nil"/>
          <w:between w:val="nil"/>
        </w:pBdr>
        <w:tabs>
          <w:tab w:val="left" w:pos="851"/>
        </w:tabs>
        <w:spacing w:line="240" w:lineRule="auto"/>
        <w:ind w:left="851" w:hanging="429"/>
        <w:jc w:val="both"/>
        <w:rPr>
          <w:color w:val="000000"/>
        </w:rPr>
      </w:pPr>
      <w:r w:rsidRPr="00995F96">
        <w:rPr>
          <w:rFonts w:eastAsia="Calibri"/>
          <w:color w:val="000000"/>
        </w:rPr>
        <w:t>Patrimonio inicial si lo hubiere, cualquiera fuera la naturaleza de los bienes.</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b/>
          <w:bCs/>
          <w:color w:val="000000"/>
        </w:rPr>
        <w:t>Artículo 22. Constitución de la Junta Promotora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Una vez cumplimentados los requisitos exigidos en el artículo anterior, el HCD como autoridad de aplicación, reconoce la conformación de la Junta Promotora con el simple cumplimiento de lo establecido en el Art.21.</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b/>
          <w:bCs/>
          <w:color w:val="000000"/>
        </w:rPr>
        <w:t>Artículo 23</w:t>
      </w:r>
      <w:r w:rsidRPr="00995F96">
        <w:rPr>
          <w:rFonts w:eastAsia="Calibri"/>
          <w:color w:val="000000"/>
        </w:rPr>
        <w:t xml:space="preserve">. </w:t>
      </w:r>
      <w:r w:rsidRPr="00995F96">
        <w:rPr>
          <w:rFonts w:eastAsia="Calibri"/>
          <w:b/>
          <w:bCs/>
          <w:color w:val="000000"/>
        </w:rPr>
        <w:t>Actuación de la Junta Promotora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Junta Promotora deberá convocar a una Asamblea Constitutiva dentro del plazo establecido a partir de su conformación, debiendo fijar lugar de realización dentro de la jurisdicción correspondiente, fecha, hora de inicio y temario a tratarse. Esto será comunicado y se dará publicidad a la convocatoria, por medios ej. Radio, Televisión, diarios, redes sociales.</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rFonts w:eastAsia="Calibri"/>
          <w:b/>
          <w:bCs/>
          <w:color w:val="000000"/>
        </w:rPr>
      </w:pPr>
    </w:p>
    <w:p w:rsidR="00995F96" w:rsidRPr="00995F96" w:rsidRDefault="00995F96" w:rsidP="00995F96">
      <w:pPr>
        <w:pBdr>
          <w:top w:val="nil"/>
          <w:left w:val="nil"/>
          <w:bottom w:val="nil"/>
          <w:right w:val="nil"/>
          <w:between w:val="nil"/>
        </w:pBdr>
        <w:spacing w:line="240" w:lineRule="auto"/>
        <w:jc w:val="both"/>
        <w:rPr>
          <w:b/>
          <w:bCs/>
          <w:color w:val="000000"/>
        </w:rPr>
      </w:pPr>
      <w:r w:rsidRPr="00995F96">
        <w:rPr>
          <w:rFonts w:eastAsia="Calibri"/>
          <w:b/>
          <w:bCs/>
          <w:color w:val="000000"/>
        </w:rPr>
        <w:t>Artículo 24. Asamblea Constitutiva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asamblea constitutiva del Plenario de Comisiones Vecinales debe cumplimentar para su validez lo previsto en el Art.9.</w:t>
      </w:r>
    </w:p>
    <w:p w:rsidR="00995F96" w:rsidRPr="00995F96" w:rsidRDefault="00995F96" w:rsidP="00995F96">
      <w:pPr>
        <w:pBdr>
          <w:top w:val="nil"/>
          <w:left w:val="nil"/>
          <w:bottom w:val="nil"/>
          <w:right w:val="nil"/>
          <w:between w:val="nil"/>
        </w:pBdr>
        <w:spacing w:line="240" w:lineRule="auto"/>
        <w:jc w:val="both"/>
        <w:rPr>
          <w:b/>
          <w:bCs/>
          <w:color w:val="000000"/>
        </w:rPr>
      </w:pP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b/>
          <w:bCs/>
          <w:color w:val="000000"/>
        </w:rPr>
        <w:t>Artículo 25. Acta Constitutiva</w:t>
      </w:r>
    </w:p>
    <w:p w:rsidR="00995F96" w:rsidRPr="00995F96" w:rsidRDefault="00995F96" w:rsidP="00995F96">
      <w:pPr>
        <w:pBdr>
          <w:top w:val="nil"/>
          <w:left w:val="nil"/>
          <w:bottom w:val="nil"/>
          <w:right w:val="nil"/>
          <w:between w:val="nil"/>
        </w:pBdr>
        <w:spacing w:line="240" w:lineRule="auto"/>
        <w:jc w:val="both"/>
        <w:rPr>
          <w:color w:val="000000"/>
        </w:rPr>
      </w:pPr>
      <w:r w:rsidRPr="00995F96">
        <w:rPr>
          <w:rFonts w:eastAsia="Calibri"/>
          <w:color w:val="000000"/>
        </w:rPr>
        <w:t>La actuación de la Asamblea Constitutiva deberá ser asentada en un Acta de Constitución, que contendrá todos los puntos del Orden del Día tratados.</w:t>
      </w:r>
    </w:p>
    <w:p w:rsidR="00995F96" w:rsidRPr="00995F96" w:rsidRDefault="00995F96" w:rsidP="00995F96">
      <w:pPr>
        <w:pBdr>
          <w:top w:val="nil"/>
          <w:left w:val="nil"/>
          <w:bottom w:val="nil"/>
          <w:right w:val="nil"/>
          <w:between w:val="nil"/>
        </w:pBdr>
        <w:spacing w:line="240" w:lineRule="auto"/>
        <w:jc w:val="both"/>
        <w:rPr>
          <w:color w:val="000000"/>
        </w:rPr>
      </w:pPr>
      <w:bookmarkStart w:id="0" w:name="_i0ypvref9x1p" w:colFirst="0" w:colLast="0"/>
      <w:bookmarkEnd w:id="0"/>
    </w:p>
    <w:p w:rsidR="00995F96" w:rsidRPr="00995F96" w:rsidRDefault="00995F96" w:rsidP="00995F96">
      <w:pPr>
        <w:pBdr>
          <w:top w:val="nil"/>
          <w:left w:val="nil"/>
          <w:bottom w:val="nil"/>
          <w:right w:val="nil"/>
          <w:between w:val="nil"/>
        </w:pBdr>
        <w:spacing w:line="240" w:lineRule="auto"/>
        <w:ind w:left="145"/>
        <w:jc w:val="both"/>
        <w:rPr>
          <w:color w:val="000000"/>
        </w:rPr>
      </w:pPr>
    </w:p>
    <w:p w:rsidR="00995F96" w:rsidRPr="00995F96" w:rsidRDefault="00995F96" w:rsidP="00995F96">
      <w:pPr>
        <w:pBdr>
          <w:top w:val="nil"/>
          <w:left w:val="nil"/>
          <w:bottom w:val="nil"/>
          <w:right w:val="nil"/>
          <w:between w:val="nil"/>
        </w:pBdr>
        <w:spacing w:line="240" w:lineRule="auto"/>
        <w:ind w:left="145"/>
        <w:jc w:val="both"/>
        <w:rPr>
          <w:color w:val="000000"/>
        </w:rPr>
      </w:pPr>
    </w:p>
    <w:p w:rsidR="00995F96" w:rsidRPr="00995F96" w:rsidRDefault="00995F96" w:rsidP="00995F96">
      <w:pPr>
        <w:pBdr>
          <w:top w:val="nil"/>
          <w:left w:val="nil"/>
          <w:bottom w:val="nil"/>
          <w:right w:val="nil"/>
          <w:between w:val="nil"/>
        </w:pBdr>
        <w:spacing w:line="240" w:lineRule="auto"/>
        <w:ind w:left="145"/>
        <w:jc w:val="right"/>
        <w:rPr>
          <w:b/>
          <w:bCs/>
          <w:color w:val="000000"/>
        </w:rPr>
      </w:pPr>
      <w:r w:rsidRPr="00995F96">
        <w:rPr>
          <w:rFonts w:eastAsia="Calibri"/>
          <w:b/>
          <w:bCs/>
          <w:color w:val="000000"/>
        </w:rPr>
        <w:t xml:space="preserve">Azul, septiembre de 2025. </w:t>
      </w:r>
    </w:p>
    <w:p w:rsidR="00995F96" w:rsidRPr="00995F96" w:rsidRDefault="00995F96" w:rsidP="00995F96">
      <w:pPr>
        <w:spacing w:after="160" w:line="259" w:lineRule="auto"/>
        <w:rPr>
          <w:rFonts w:ascii="Calibri" w:eastAsia="Calibri" w:hAnsi="Calibri" w:cs="Times New Roman"/>
          <w:lang w:eastAsia="en-US"/>
        </w:rPr>
      </w:pPr>
    </w:p>
    <w:p w:rsidR="00995F96" w:rsidRPr="00995F96" w:rsidRDefault="00995F96" w:rsidP="00995F96">
      <w:pPr>
        <w:pStyle w:val="Normal1"/>
        <w:spacing w:line="360" w:lineRule="auto"/>
        <w:jc w:val="right"/>
        <w:rPr>
          <w:b/>
          <w:u w:val="single"/>
        </w:rPr>
      </w:pPr>
    </w:p>
    <w:p w:rsidR="007217B9" w:rsidRPr="007217B9" w:rsidRDefault="007217B9" w:rsidP="007217B9">
      <w:pPr>
        <w:pStyle w:val="Normal1"/>
        <w:spacing w:line="360" w:lineRule="auto"/>
        <w:ind w:firstLine="850"/>
        <w:jc w:val="both"/>
      </w:pPr>
    </w:p>
    <w:p w:rsidR="007217B9" w:rsidRPr="007217B9" w:rsidRDefault="007217B9" w:rsidP="007217B9">
      <w:pPr>
        <w:spacing w:line="360" w:lineRule="auto"/>
      </w:pPr>
      <w:r w:rsidRPr="007217B9">
        <w:br w:type="page"/>
      </w:r>
      <w:bookmarkStart w:id="1" w:name="_GoBack"/>
      <w:bookmarkEnd w:id="1"/>
    </w:p>
    <w:p w:rsidR="007217B9" w:rsidRPr="007217B9" w:rsidRDefault="007217B9" w:rsidP="007217B9">
      <w:pPr>
        <w:pStyle w:val="Normal1"/>
        <w:spacing w:line="360" w:lineRule="auto"/>
        <w:ind w:firstLine="850"/>
        <w:jc w:val="center"/>
        <w:rPr>
          <w:b/>
          <w:bCs/>
          <w:u w:val="single"/>
        </w:rPr>
      </w:pPr>
      <w:r w:rsidRPr="007217B9">
        <w:rPr>
          <w:b/>
          <w:bCs/>
          <w:u w:val="single"/>
        </w:rPr>
        <w:lastRenderedPageBreak/>
        <w:t>FUNDAMENTOS</w:t>
      </w:r>
    </w:p>
    <w:p w:rsidR="007217B9" w:rsidRPr="007217B9" w:rsidRDefault="007217B9" w:rsidP="007217B9">
      <w:pPr>
        <w:pStyle w:val="Normal1"/>
        <w:spacing w:line="360" w:lineRule="auto"/>
        <w:ind w:firstLine="850"/>
        <w:jc w:val="both"/>
        <w:rPr>
          <w:b/>
          <w:bCs/>
        </w:rPr>
      </w:pPr>
    </w:p>
    <w:p w:rsidR="007217B9" w:rsidRPr="007217B9" w:rsidRDefault="007217B9" w:rsidP="00130EAF">
      <w:pPr>
        <w:pStyle w:val="Normal1"/>
        <w:spacing w:line="360" w:lineRule="auto"/>
        <w:jc w:val="both"/>
        <w:rPr>
          <w:b/>
          <w:bCs/>
        </w:rPr>
      </w:pPr>
      <w:r w:rsidRPr="007217B9">
        <w:rPr>
          <w:b/>
          <w:bCs/>
        </w:rPr>
        <w:t xml:space="preserve">VISTO </w:t>
      </w:r>
      <w:r w:rsidR="00130EAF">
        <w:t>el Expediente N° 16.690/2025</w:t>
      </w:r>
      <w:r w:rsidR="00CC48CA">
        <w:t xml:space="preserve"> C.D.</w:t>
      </w:r>
    </w:p>
    <w:p w:rsidR="007217B9" w:rsidRPr="007217B9" w:rsidRDefault="007217B9" w:rsidP="007217B9">
      <w:pPr>
        <w:pStyle w:val="Normal1"/>
        <w:spacing w:line="360" w:lineRule="auto"/>
        <w:ind w:firstLine="850"/>
        <w:jc w:val="both"/>
        <w:rPr>
          <w:b/>
          <w:bCs/>
        </w:rPr>
      </w:pPr>
    </w:p>
    <w:p w:rsidR="007217B9" w:rsidRPr="007217B9" w:rsidRDefault="007217B9" w:rsidP="007217B9">
      <w:pPr>
        <w:pStyle w:val="Normal1"/>
        <w:spacing w:line="360" w:lineRule="auto"/>
        <w:ind w:firstLine="850"/>
        <w:jc w:val="both"/>
      </w:pPr>
      <w:r w:rsidRPr="007217B9">
        <w:rPr>
          <w:b/>
          <w:bCs/>
        </w:rPr>
        <w:t xml:space="preserve">Y CONSIDERANDO </w:t>
      </w:r>
    </w:p>
    <w:p w:rsidR="007217B9" w:rsidRPr="007217B9" w:rsidRDefault="00CC48CA" w:rsidP="007217B9">
      <w:pPr>
        <w:pStyle w:val="Normal1"/>
        <w:spacing w:line="360" w:lineRule="auto"/>
        <w:ind w:firstLine="850"/>
        <w:jc w:val="both"/>
      </w:pPr>
      <w:r>
        <w:t>Que l</w:t>
      </w:r>
      <w:r w:rsidR="007217B9" w:rsidRPr="007217B9">
        <w:t xml:space="preserve">a Comisión </w:t>
      </w:r>
      <w:r>
        <w:t xml:space="preserve">de Interpretación, Legislación y Seguridad Pública </w:t>
      </w:r>
      <w:r w:rsidR="007217B9" w:rsidRPr="007217B9">
        <w:t>ha analizado la documentación presentada, considerando que los aspectos planteados han sido oportunamente incorporados.</w:t>
      </w:r>
    </w:p>
    <w:p w:rsidR="007217B9" w:rsidRPr="007217B9" w:rsidRDefault="007217B9" w:rsidP="007217B9">
      <w:pPr>
        <w:pStyle w:val="Normal1"/>
        <w:spacing w:line="360" w:lineRule="auto"/>
        <w:ind w:firstLine="850"/>
        <w:jc w:val="both"/>
      </w:pPr>
      <w:r w:rsidRPr="007217B9">
        <w:t>Que resulta necesario incorporar a la Ordenanza N°</w:t>
      </w:r>
      <w:r w:rsidR="00CC48CA">
        <w:t xml:space="preserve"> </w:t>
      </w:r>
      <w:r w:rsidRPr="007217B9">
        <w:t>5.063/2024 el Estatuto del Plenario de Comisiones Vecinales, instrumento que fue elaborado en el seno del mismo Plenario.</w:t>
      </w:r>
    </w:p>
    <w:p w:rsidR="007217B9" w:rsidRPr="007217B9" w:rsidRDefault="007217B9" w:rsidP="007217B9">
      <w:pPr>
        <w:pStyle w:val="Normal1"/>
        <w:spacing w:line="360" w:lineRule="auto"/>
        <w:ind w:firstLine="850"/>
        <w:jc w:val="both"/>
      </w:pPr>
      <w:r w:rsidRPr="007217B9">
        <w:t>Que la incorporación del artículo 19° bis contribuye a garantizar la transparencia del proceso electoral, promoviendo la participación y asegurando que todos los ciudadanos puedan acceder a la información y participación en elecciones vecinales.</w:t>
      </w:r>
    </w:p>
    <w:p w:rsidR="00CC48CA" w:rsidRDefault="00CC48CA" w:rsidP="00CC48CA">
      <w:pPr>
        <w:pStyle w:val="Normal1"/>
        <w:spacing w:line="360" w:lineRule="auto"/>
        <w:jc w:val="both"/>
        <w:rPr>
          <w:b/>
          <w:bCs/>
        </w:rPr>
      </w:pPr>
    </w:p>
    <w:p w:rsidR="007217B9" w:rsidRPr="00CC48CA" w:rsidRDefault="007217B9" w:rsidP="00CC48CA">
      <w:pPr>
        <w:pStyle w:val="Normal1"/>
        <w:spacing w:line="360" w:lineRule="auto"/>
        <w:jc w:val="both"/>
        <w:rPr>
          <w:b/>
        </w:rPr>
      </w:pPr>
      <w:r w:rsidRPr="00CC48CA">
        <w:rPr>
          <w:b/>
          <w:bCs/>
        </w:rPr>
        <w:t xml:space="preserve">POR ELLO, </w:t>
      </w:r>
      <w:r w:rsidRPr="00CC48CA">
        <w:rPr>
          <w:b/>
        </w:rPr>
        <w:t>e</w:t>
      </w:r>
      <w:r w:rsidR="00CC48CA" w:rsidRPr="00CC48CA">
        <w:rPr>
          <w:b/>
        </w:rPr>
        <w:t xml:space="preserve">l Concejo Deliberante del partido de Azul sanciona con fuerza de ley la presente Ordenanza. </w:t>
      </w:r>
    </w:p>
    <w:p w:rsidR="00CC48CA" w:rsidRPr="00CC48CA" w:rsidRDefault="00CC48CA" w:rsidP="00CC48CA">
      <w:pPr>
        <w:pStyle w:val="Normal1"/>
        <w:spacing w:line="360" w:lineRule="auto"/>
        <w:jc w:val="both"/>
        <w:rPr>
          <w:b/>
        </w:rPr>
      </w:pPr>
    </w:p>
    <w:p w:rsidR="00CC48CA" w:rsidRPr="00CC48CA" w:rsidRDefault="00CC48CA" w:rsidP="00CC48CA">
      <w:pPr>
        <w:pStyle w:val="Normal1"/>
        <w:spacing w:line="360" w:lineRule="auto"/>
        <w:jc w:val="both"/>
        <w:rPr>
          <w:b/>
          <w:u w:val="single"/>
        </w:rPr>
      </w:pPr>
      <w:r w:rsidRPr="00CC48CA">
        <w:rPr>
          <w:b/>
          <w:u w:val="single"/>
        </w:rPr>
        <w:t>ORDENANZA Nº 5.222/2026</w:t>
      </w:r>
    </w:p>
    <w:p w:rsidR="007217B9" w:rsidRPr="007217B9" w:rsidRDefault="007217B9" w:rsidP="007217B9">
      <w:pPr>
        <w:pBdr>
          <w:top w:val="nil"/>
          <w:left w:val="nil"/>
          <w:bottom w:val="nil"/>
          <w:right w:val="nil"/>
          <w:between w:val="nil"/>
        </w:pBdr>
        <w:spacing w:line="360" w:lineRule="auto"/>
        <w:ind w:left="145"/>
        <w:jc w:val="both"/>
        <w:rPr>
          <w:b/>
          <w:bCs/>
          <w:color w:val="000000"/>
        </w:rPr>
      </w:pPr>
    </w:p>
    <w:p w:rsidR="007217B9" w:rsidRPr="007217B9" w:rsidRDefault="007217B9" w:rsidP="007217B9">
      <w:pPr>
        <w:pStyle w:val="Normal1"/>
        <w:spacing w:line="360" w:lineRule="auto"/>
        <w:ind w:firstLine="850"/>
        <w:jc w:val="both"/>
      </w:pPr>
    </w:p>
    <w:sectPr w:rsidR="007217B9" w:rsidRPr="007217B9" w:rsidSect="00E6236F">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8B37741D-37EB-4339-B3F4-2471EC007AC4}"/>
    <w:embedBold r:id="rId2" w:fontKey="{B8AC230B-90B9-4427-85C7-42A0BF0EA52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AFFC080C-C2BF-4A95-B256-72963EAD049C}"/>
  </w:font>
  <w:font w:name="Cambria">
    <w:panose1 w:val="02040503050406030204"/>
    <w:charset w:val="00"/>
    <w:family w:val="roman"/>
    <w:pitch w:val="variable"/>
    <w:sig w:usb0="E00006FF" w:usb1="420024FF" w:usb2="02000000" w:usb3="00000000" w:csb0="0000019F" w:csb1="00000000"/>
    <w:embedRegular r:id="rId4" w:fontKey="{6885C994-2E00-4C54-B4A3-DA0B00058BF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756B"/>
    <w:multiLevelType w:val="multilevel"/>
    <w:tmpl w:val="9D94D22A"/>
    <w:lvl w:ilvl="0">
      <w:start w:val="2"/>
      <w:numFmt w:val="lowerLetter"/>
      <w:lvlText w:val="%1-"/>
      <w:lvlJc w:val="left"/>
      <w:pPr>
        <w:ind w:left="506" w:hanging="360"/>
      </w:pPr>
      <w:rPr>
        <w:rFonts w:ascii="Calibri" w:eastAsia="Calibri" w:hAnsi="Calibri" w:cs="Calibri"/>
        <w:sz w:val="22"/>
        <w:szCs w:val="22"/>
      </w:rPr>
    </w:lvl>
    <w:lvl w:ilvl="1">
      <w:numFmt w:val="bullet"/>
      <w:lvlText w:val="•"/>
      <w:lvlJc w:val="left"/>
      <w:pPr>
        <w:ind w:left="1320" w:hanging="360"/>
      </w:pPr>
    </w:lvl>
    <w:lvl w:ilvl="2">
      <w:numFmt w:val="bullet"/>
      <w:lvlText w:val="•"/>
      <w:lvlJc w:val="left"/>
      <w:pPr>
        <w:ind w:left="2141" w:hanging="360"/>
      </w:pPr>
    </w:lvl>
    <w:lvl w:ilvl="3">
      <w:numFmt w:val="bullet"/>
      <w:lvlText w:val="•"/>
      <w:lvlJc w:val="left"/>
      <w:pPr>
        <w:ind w:left="2961" w:hanging="360"/>
      </w:pPr>
    </w:lvl>
    <w:lvl w:ilvl="4">
      <w:numFmt w:val="bullet"/>
      <w:lvlText w:val="•"/>
      <w:lvlJc w:val="left"/>
      <w:pPr>
        <w:ind w:left="3782" w:hanging="360"/>
      </w:pPr>
    </w:lvl>
    <w:lvl w:ilvl="5">
      <w:numFmt w:val="bullet"/>
      <w:lvlText w:val="•"/>
      <w:lvlJc w:val="left"/>
      <w:pPr>
        <w:ind w:left="4602" w:hanging="360"/>
      </w:pPr>
    </w:lvl>
    <w:lvl w:ilvl="6">
      <w:numFmt w:val="bullet"/>
      <w:lvlText w:val="•"/>
      <w:lvlJc w:val="left"/>
      <w:pPr>
        <w:ind w:left="5423" w:hanging="360"/>
      </w:pPr>
    </w:lvl>
    <w:lvl w:ilvl="7">
      <w:numFmt w:val="bullet"/>
      <w:lvlText w:val="•"/>
      <w:lvlJc w:val="left"/>
      <w:pPr>
        <w:ind w:left="6243" w:hanging="360"/>
      </w:pPr>
    </w:lvl>
    <w:lvl w:ilvl="8">
      <w:numFmt w:val="bullet"/>
      <w:lvlText w:val="•"/>
      <w:lvlJc w:val="left"/>
      <w:pPr>
        <w:ind w:left="7064" w:hanging="360"/>
      </w:pPr>
    </w:lvl>
  </w:abstractNum>
  <w:abstractNum w:abstractNumId="1">
    <w:nsid w:val="18C037DD"/>
    <w:multiLevelType w:val="multilevel"/>
    <w:tmpl w:val="AFD2AC9A"/>
    <w:lvl w:ilvl="0">
      <w:start w:val="1"/>
      <w:numFmt w:val="lowerLetter"/>
      <w:lvlText w:val="%1-"/>
      <w:lvlJc w:val="left"/>
      <w:pPr>
        <w:ind w:left="506" w:hanging="360"/>
      </w:pPr>
      <w:rPr>
        <w:rFonts w:ascii="Calibri" w:eastAsia="Calibri" w:hAnsi="Calibri" w:cs="Calibri"/>
        <w:sz w:val="22"/>
        <w:szCs w:val="22"/>
      </w:rPr>
    </w:lvl>
    <w:lvl w:ilvl="1">
      <w:numFmt w:val="bullet"/>
      <w:lvlText w:val="•"/>
      <w:lvlJc w:val="left"/>
      <w:pPr>
        <w:ind w:left="1320" w:hanging="360"/>
      </w:pPr>
    </w:lvl>
    <w:lvl w:ilvl="2">
      <w:numFmt w:val="bullet"/>
      <w:lvlText w:val="•"/>
      <w:lvlJc w:val="left"/>
      <w:pPr>
        <w:ind w:left="2141" w:hanging="360"/>
      </w:pPr>
    </w:lvl>
    <w:lvl w:ilvl="3">
      <w:numFmt w:val="bullet"/>
      <w:lvlText w:val="•"/>
      <w:lvlJc w:val="left"/>
      <w:pPr>
        <w:ind w:left="2961" w:hanging="360"/>
      </w:pPr>
    </w:lvl>
    <w:lvl w:ilvl="4">
      <w:numFmt w:val="bullet"/>
      <w:lvlText w:val="•"/>
      <w:lvlJc w:val="left"/>
      <w:pPr>
        <w:ind w:left="3782" w:hanging="360"/>
      </w:pPr>
    </w:lvl>
    <w:lvl w:ilvl="5">
      <w:numFmt w:val="bullet"/>
      <w:lvlText w:val="•"/>
      <w:lvlJc w:val="left"/>
      <w:pPr>
        <w:ind w:left="4602" w:hanging="360"/>
      </w:pPr>
    </w:lvl>
    <w:lvl w:ilvl="6">
      <w:numFmt w:val="bullet"/>
      <w:lvlText w:val="•"/>
      <w:lvlJc w:val="left"/>
      <w:pPr>
        <w:ind w:left="5423" w:hanging="360"/>
      </w:pPr>
    </w:lvl>
    <w:lvl w:ilvl="7">
      <w:numFmt w:val="bullet"/>
      <w:lvlText w:val="•"/>
      <w:lvlJc w:val="left"/>
      <w:pPr>
        <w:ind w:left="6243" w:hanging="360"/>
      </w:pPr>
    </w:lvl>
    <w:lvl w:ilvl="8">
      <w:numFmt w:val="bullet"/>
      <w:lvlText w:val="•"/>
      <w:lvlJc w:val="left"/>
      <w:pPr>
        <w:ind w:left="7064" w:hanging="360"/>
      </w:pPr>
    </w:lvl>
  </w:abstractNum>
  <w:abstractNum w:abstractNumId="2">
    <w:nsid w:val="18C85BC7"/>
    <w:multiLevelType w:val="multilevel"/>
    <w:tmpl w:val="3208DC1E"/>
    <w:lvl w:ilvl="0">
      <w:start w:val="1"/>
      <w:numFmt w:val="lowerLetter"/>
      <w:lvlText w:val="%1-"/>
      <w:lvlJc w:val="left"/>
      <w:pPr>
        <w:ind w:left="821" w:hanging="360"/>
      </w:pPr>
      <w:rPr>
        <w:rFonts w:ascii="Calibri" w:eastAsia="Calibri" w:hAnsi="Calibri" w:cs="Calibri"/>
        <w:sz w:val="22"/>
        <w:szCs w:val="22"/>
      </w:rPr>
    </w:lvl>
    <w:lvl w:ilvl="1">
      <w:numFmt w:val="bullet"/>
      <w:lvlText w:val="•"/>
      <w:lvlJc w:val="left"/>
      <w:pPr>
        <w:ind w:left="1608" w:hanging="360"/>
      </w:pPr>
    </w:lvl>
    <w:lvl w:ilvl="2">
      <w:numFmt w:val="bullet"/>
      <w:lvlText w:val="•"/>
      <w:lvlJc w:val="left"/>
      <w:pPr>
        <w:ind w:left="2397" w:hanging="360"/>
      </w:pPr>
    </w:lvl>
    <w:lvl w:ilvl="3">
      <w:numFmt w:val="bullet"/>
      <w:lvlText w:val="•"/>
      <w:lvlJc w:val="left"/>
      <w:pPr>
        <w:ind w:left="3185" w:hanging="360"/>
      </w:pPr>
    </w:lvl>
    <w:lvl w:ilvl="4">
      <w:numFmt w:val="bullet"/>
      <w:lvlText w:val="•"/>
      <w:lvlJc w:val="left"/>
      <w:pPr>
        <w:ind w:left="3974" w:hanging="360"/>
      </w:pPr>
    </w:lvl>
    <w:lvl w:ilvl="5">
      <w:numFmt w:val="bullet"/>
      <w:lvlText w:val="•"/>
      <w:lvlJc w:val="left"/>
      <w:pPr>
        <w:ind w:left="4762" w:hanging="360"/>
      </w:pPr>
    </w:lvl>
    <w:lvl w:ilvl="6">
      <w:numFmt w:val="bullet"/>
      <w:lvlText w:val="•"/>
      <w:lvlJc w:val="left"/>
      <w:pPr>
        <w:ind w:left="5551" w:hanging="360"/>
      </w:pPr>
    </w:lvl>
    <w:lvl w:ilvl="7">
      <w:numFmt w:val="bullet"/>
      <w:lvlText w:val="•"/>
      <w:lvlJc w:val="left"/>
      <w:pPr>
        <w:ind w:left="6339" w:hanging="360"/>
      </w:pPr>
    </w:lvl>
    <w:lvl w:ilvl="8">
      <w:numFmt w:val="bullet"/>
      <w:lvlText w:val="•"/>
      <w:lvlJc w:val="left"/>
      <w:pPr>
        <w:ind w:left="7128" w:hanging="360"/>
      </w:pPr>
    </w:lvl>
  </w:abstractNum>
  <w:abstractNum w:abstractNumId="3">
    <w:nsid w:val="22CA4665"/>
    <w:multiLevelType w:val="hybridMultilevel"/>
    <w:tmpl w:val="BE6818D6"/>
    <w:lvl w:ilvl="0" w:tplc="699E6026">
      <w:start w:val="1"/>
      <w:numFmt w:val="lowerLetter"/>
      <w:lvlText w:val="%1."/>
      <w:lvlJc w:val="left"/>
      <w:pPr>
        <w:ind w:left="720" w:hanging="360"/>
      </w:pPr>
      <w:rPr>
        <w:rFonts w:hint="default"/>
        <w:b/>
        <w:bCs/>
        <w:sz w:val="20"/>
        <w:szCs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3327271E"/>
    <w:multiLevelType w:val="multilevel"/>
    <w:tmpl w:val="B74EAE3E"/>
    <w:lvl w:ilvl="0">
      <w:start w:val="1"/>
      <w:numFmt w:val="decimal"/>
      <w:lvlText w:val="%1)"/>
      <w:lvlJc w:val="left"/>
      <w:pPr>
        <w:ind w:left="146" w:hanging="225"/>
      </w:pPr>
      <w:rPr>
        <w:rFonts w:ascii="Calibri" w:eastAsia="Calibri" w:hAnsi="Calibri" w:cs="Calibri"/>
        <w:sz w:val="22"/>
        <w:szCs w:val="22"/>
      </w:rPr>
    </w:lvl>
    <w:lvl w:ilvl="1">
      <w:numFmt w:val="bullet"/>
      <w:lvlText w:val="•"/>
      <w:lvlJc w:val="left"/>
      <w:pPr>
        <w:ind w:left="996" w:hanging="225"/>
      </w:pPr>
    </w:lvl>
    <w:lvl w:ilvl="2">
      <w:numFmt w:val="bullet"/>
      <w:lvlText w:val="•"/>
      <w:lvlJc w:val="left"/>
      <w:pPr>
        <w:ind w:left="1853" w:hanging="225"/>
      </w:pPr>
    </w:lvl>
    <w:lvl w:ilvl="3">
      <w:numFmt w:val="bullet"/>
      <w:lvlText w:val="•"/>
      <w:lvlJc w:val="left"/>
      <w:pPr>
        <w:ind w:left="2709" w:hanging="225"/>
      </w:pPr>
    </w:lvl>
    <w:lvl w:ilvl="4">
      <w:numFmt w:val="bullet"/>
      <w:lvlText w:val="•"/>
      <w:lvlJc w:val="left"/>
      <w:pPr>
        <w:ind w:left="3566" w:hanging="225"/>
      </w:pPr>
    </w:lvl>
    <w:lvl w:ilvl="5">
      <w:numFmt w:val="bullet"/>
      <w:lvlText w:val="•"/>
      <w:lvlJc w:val="left"/>
      <w:pPr>
        <w:ind w:left="4422" w:hanging="225"/>
      </w:pPr>
    </w:lvl>
    <w:lvl w:ilvl="6">
      <w:numFmt w:val="bullet"/>
      <w:lvlText w:val="•"/>
      <w:lvlJc w:val="left"/>
      <w:pPr>
        <w:ind w:left="5279" w:hanging="225"/>
      </w:pPr>
    </w:lvl>
    <w:lvl w:ilvl="7">
      <w:numFmt w:val="bullet"/>
      <w:lvlText w:val="•"/>
      <w:lvlJc w:val="left"/>
      <w:pPr>
        <w:ind w:left="6135" w:hanging="225"/>
      </w:pPr>
    </w:lvl>
    <w:lvl w:ilvl="8">
      <w:numFmt w:val="bullet"/>
      <w:lvlText w:val="•"/>
      <w:lvlJc w:val="left"/>
      <w:pPr>
        <w:ind w:left="6992" w:hanging="225"/>
      </w:pPr>
    </w:lvl>
  </w:abstractNum>
  <w:abstractNum w:abstractNumId="5">
    <w:nsid w:val="3B7E1289"/>
    <w:multiLevelType w:val="multilevel"/>
    <w:tmpl w:val="6B785B5A"/>
    <w:lvl w:ilvl="0">
      <w:start w:val="1"/>
      <w:numFmt w:val="lowerLetter"/>
      <w:lvlText w:val="%1-"/>
      <w:lvlJc w:val="left"/>
      <w:pPr>
        <w:ind w:left="821" w:hanging="360"/>
      </w:pPr>
      <w:rPr>
        <w:rFonts w:ascii="Calibri" w:eastAsia="Calibri" w:hAnsi="Calibri" w:cs="Calibri"/>
        <w:sz w:val="22"/>
        <w:szCs w:val="22"/>
      </w:rPr>
    </w:lvl>
    <w:lvl w:ilvl="1">
      <w:numFmt w:val="bullet"/>
      <w:lvlText w:val="•"/>
      <w:lvlJc w:val="left"/>
      <w:pPr>
        <w:ind w:left="1608" w:hanging="360"/>
      </w:pPr>
    </w:lvl>
    <w:lvl w:ilvl="2">
      <w:numFmt w:val="bullet"/>
      <w:lvlText w:val="•"/>
      <w:lvlJc w:val="left"/>
      <w:pPr>
        <w:ind w:left="2397" w:hanging="360"/>
      </w:pPr>
    </w:lvl>
    <w:lvl w:ilvl="3">
      <w:numFmt w:val="bullet"/>
      <w:lvlText w:val="•"/>
      <w:lvlJc w:val="left"/>
      <w:pPr>
        <w:ind w:left="3185" w:hanging="360"/>
      </w:pPr>
    </w:lvl>
    <w:lvl w:ilvl="4">
      <w:numFmt w:val="bullet"/>
      <w:lvlText w:val="•"/>
      <w:lvlJc w:val="left"/>
      <w:pPr>
        <w:ind w:left="3974" w:hanging="360"/>
      </w:pPr>
    </w:lvl>
    <w:lvl w:ilvl="5">
      <w:numFmt w:val="bullet"/>
      <w:lvlText w:val="•"/>
      <w:lvlJc w:val="left"/>
      <w:pPr>
        <w:ind w:left="4762" w:hanging="360"/>
      </w:pPr>
    </w:lvl>
    <w:lvl w:ilvl="6">
      <w:numFmt w:val="bullet"/>
      <w:lvlText w:val="•"/>
      <w:lvlJc w:val="left"/>
      <w:pPr>
        <w:ind w:left="5551" w:hanging="360"/>
      </w:pPr>
    </w:lvl>
    <w:lvl w:ilvl="7">
      <w:numFmt w:val="bullet"/>
      <w:lvlText w:val="•"/>
      <w:lvlJc w:val="left"/>
      <w:pPr>
        <w:ind w:left="6339" w:hanging="360"/>
      </w:pPr>
    </w:lvl>
    <w:lvl w:ilvl="8">
      <w:numFmt w:val="bullet"/>
      <w:lvlText w:val="•"/>
      <w:lvlJc w:val="left"/>
      <w:pPr>
        <w:ind w:left="7128" w:hanging="360"/>
      </w:pPr>
    </w:lvl>
  </w:abstractNum>
  <w:abstractNum w:abstractNumId="6">
    <w:nsid w:val="69B62CBF"/>
    <w:multiLevelType w:val="multilevel"/>
    <w:tmpl w:val="C1E648E2"/>
    <w:lvl w:ilvl="0">
      <w:start w:val="1"/>
      <w:numFmt w:val="lowerLetter"/>
      <w:lvlText w:val="%1-"/>
      <w:lvlJc w:val="left"/>
      <w:pPr>
        <w:ind w:left="821" w:hanging="360"/>
      </w:pPr>
      <w:rPr>
        <w:rFonts w:ascii="Calibri" w:eastAsia="Calibri" w:hAnsi="Calibri" w:cs="Calibri"/>
        <w:sz w:val="22"/>
        <w:szCs w:val="22"/>
      </w:rPr>
    </w:lvl>
    <w:lvl w:ilvl="1">
      <w:numFmt w:val="bullet"/>
      <w:lvlText w:val="•"/>
      <w:lvlJc w:val="left"/>
      <w:pPr>
        <w:ind w:left="1608" w:hanging="360"/>
      </w:pPr>
    </w:lvl>
    <w:lvl w:ilvl="2">
      <w:numFmt w:val="bullet"/>
      <w:lvlText w:val="•"/>
      <w:lvlJc w:val="left"/>
      <w:pPr>
        <w:ind w:left="2397" w:hanging="360"/>
      </w:pPr>
    </w:lvl>
    <w:lvl w:ilvl="3">
      <w:numFmt w:val="bullet"/>
      <w:lvlText w:val="•"/>
      <w:lvlJc w:val="left"/>
      <w:pPr>
        <w:ind w:left="3185" w:hanging="360"/>
      </w:pPr>
    </w:lvl>
    <w:lvl w:ilvl="4">
      <w:numFmt w:val="bullet"/>
      <w:lvlText w:val="•"/>
      <w:lvlJc w:val="left"/>
      <w:pPr>
        <w:ind w:left="3974" w:hanging="360"/>
      </w:pPr>
    </w:lvl>
    <w:lvl w:ilvl="5">
      <w:numFmt w:val="bullet"/>
      <w:lvlText w:val="•"/>
      <w:lvlJc w:val="left"/>
      <w:pPr>
        <w:ind w:left="4762" w:hanging="360"/>
      </w:pPr>
    </w:lvl>
    <w:lvl w:ilvl="6">
      <w:numFmt w:val="bullet"/>
      <w:lvlText w:val="•"/>
      <w:lvlJc w:val="left"/>
      <w:pPr>
        <w:ind w:left="5551" w:hanging="360"/>
      </w:pPr>
    </w:lvl>
    <w:lvl w:ilvl="7">
      <w:numFmt w:val="bullet"/>
      <w:lvlText w:val="•"/>
      <w:lvlJc w:val="left"/>
      <w:pPr>
        <w:ind w:left="6339" w:hanging="360"/>
      </w:pPr>
    </w:lvl>
    <w:lvl w:ilvl="8">
      <w:numFmt w:val="bullet"/>
      <w:lvlText w:val="•"/>
      <w:lvlJc w:val="left"/>
      <w:pPr>
        <w:ind w:left="7128" w:hanging="360"/>
      </w:pPr>
    </w:lvl>
  </w:abstractNum>
  <w:abstractNum w:abstractNumId="7">
    <w:nsid w:val="7C35611A"/>
    <w:multiLevelType w:val="multilevel"/>
    <w:tmpl w:val="D38C18F0"/>
    <w:lvl w:ilvl="0">
      <w:start w:val="1"/>
      <w:numFmt w:val="lowerLetter"/>
      <w:lvlText w:val="%1-"/>
      <w:lvlJc w:val="left"/>
      <w:pPr>
        <w:ind w:left="866" w:hanging="360"/>
      </w:pPr>
      <w:rPr>
        <w:rFonts w:ascii="Calibri" w:eastAsia="Calibri" w:hAnsi="Calibri" w:cs="Calibri"/>
        <w:sz w:val="22"/>
        <w:szCs w:val="22"/>
      </w:rPr>
    </w:lvl>
    <w:lvl w:ilvl="1">
      <w:numFmt w:val="bullet"/>
      <w:lvlText w:val="•"/>
      <w:lvlJc w:val="left"/>
      <w:pPr>
        <w:ind w:left="1644" w:hanging="360"/>
      </w:pPr>
    </w:lvl>
    <w:lvl w:ilvl="2">
      <w:numFmt w:val="bullet"/>
      <w:lvlText w:val="•"/>
      <w:lvlJc w:val="left"/>
      <w:pPr>
        <w:ind w:left="2429" w:hanging="360"/>
      </w:pPr>
    </w:lvl>
    <w:lvl w:ilvl="3">
      <w:numFmt w:val="bullet"/>
      <w:lvlText w:val="•"/>
      <w:lvlJc w:val="left"/>
      <w:pPr>
        <w:ind w:left="3213" w:hanging="360"/>
      </w:pPr>
    </w:lvl>
    <w:lvl w:ilvl="4">
      <w:numFmt w:val="bullet"/>
      <w:lvlText w:val="•"/>
      <w:lvlJc w:val="left"/>
      <w:pPr>
        <w:ind w:left="3998" w:hanging="360"/>
      </w:pPr>
    </w:lvl>
    <w:lvl w:ilvl="5">
      <w:numFmt w:val="bullet"/>
      <w:lvlText w:val="•"/>
      <w:lvlJc w:val="left"/>
      <w:pPr>
        <w:ind w:left="4782" w:hanging="360"/>
      </w:pPr>
    </w:lvl>
    <w:lvl w:ilvl="6">
      <w:numFmt w:val="bullet"/>
      <w:lvlText w:val="•"/>
      <w:lvlJc w:val="left"/>
      <w:pPr>
        <w:ind w:left="5567" w:hanging="360"/>
      </w:pPr>
    </w:lvl>
    <w:lvl w:ilvl="7">
      <w:numFmt w:val="bullet"/>
      <w:lvlText w:val="•"/>
      <w:lvlJc w:val="left"/>
      <w:pPr>
        <w:ind w:left="6351" w:hanging="360"/>
      </w:pPr>
    </w:lvl>
    <w:lvl w:ilvl="8">
      <w:numFmt w:val="bullet"/>
      <w:lvlText w:val="•"/>
      <w:lvlJc w:val="left"/>
      <w:pPr>
        <w:ind w:left="7136" w:hanging="360"/>
      </w:pPr>
    </w:lvl>
  </w:abstractNum>
  <w:abstractNum w:abstractNumId="8">
    <w:nsid w:val="7C81418A"/>
    <w:multiLevelType w:val="hybridMultilevel"/>
    <w:tmpl w:val="3AC87DCC"/>
    <w:lvl w:ilvl="0" w:tplc="699E6026">
      <w:start w:val="1"/>
      <w:numFmt w:val="lowerLetter"/>
      <w:lvlText w:val="%1."/>
      <w:lvlJc w:val="left"/>
      <w:pPr>
        <w:ind w:left="1146" w:hanging="360"/>
      </w:pPr>
      <w:rPr>
        <w:rFonts w:hint="default"/>
        <w:b/>
        <w:bCs/>
        <w:sz w:val="20"/>
        <w:szCs w:val="20"/>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7D5C1436"/>
    <w:multiLevelType w:val="multilevel"/>
    <w:tmpl w:val="1ECE1D8C"/>
    <w:lvl w:ilvl="0">
      <w:start w:val="1"/>
      <w:numFmt w:val="decimal"/>
      <w:lvlText w:val="%1."/>
      <w:lvlJc w:val="left"/>
      <w:pPr>
        <w:ind w:left="676" w:hanging="216"/>
      </w:pPr>
      <w:rPr>
        <w:rFonts w:ascii="Calibri" w:eastAsia="Calibri" w:hAnsi="Calibri" w:cs="Calibri"/>
        <w:sz w:val="22"/>
        <w:szCs w:val="22"/>
      </w:rPr>
    </w:lvl>
    <w:lvl w:ilvl="1">
      <w:numFmt w:val="bullet"/>
      <w:lvlText w:val="•"/>
      <w:lvlJc w:val="left"/>
      <w:pPr>
        <w:ind w:left="1482" w:hanging="216"/>
      </w:pPr>
    </w:lvl>
    <w:lvl w:ilvl="2">
      <w:numFmt w:val="bullet"/>
      <w:lvlText w:val="•"/>
      <w:lvlJc w:val="left"/>
      <w:pPr>
        <w:ind w:left="2285" w:hanging="216"/>
      </w:pPr>
    </w:lvl>
    <w:lvl w:ilvl="3">
      <w:numFmt w:val="bullet"/>
      <w:lvlText w:val="•"/>
      <w:lvlJc w:val="left"/>
      <w:pPr>
        <w:ind w:left="3087" w:hanging="216"/>
      </w:pPr>
    </w:lvl>
    <w:lvl w:ilvl="4">
      <w:numFmt w:val="bullet"/>
      <w:lvlText w:val="•"/>
      <w:lvlJc w:val="left"/>
      <w:pPr>
        <w:ind w:left="3890" w:hanging="216"/>
      </w:pPr>
    </w:lvl>
    <w:lvl w:ilvl="5">
      <w:numFmt w:val="bullet"/>
      <w:lvlText w:val="•"/>
      <w:lvlJc w:val="left"/>
      <w:pPr>
        <w:ind w:left="4692" w:hanging="216"/>
      </w:pPr>
    </w:lvl>
    <w:lvl w:ilvl="6">
      <w:numFmt w:val="bullet"/>
      <w:lvlText w:val="•"/>
      <w:lvlJc w:val="left"/>
      <w:pPr>
        <w:ind w:left="5495" w:hanging="216"/>
      </w:pPr>
    </w:lvl>
    <w:lvl w:ilvl="7">
      <w:numFmt w:val="bullet"/>
      <w:lvlText w:val="•"/>
      <w:lvlJc w:val="left"/>
      <w:pPr>
        <w:ind w:left="6297" w:hanging="216"/>
      </w:pPr>
    </w:lvl>
    <w:lvl w:ilvl="8">
      <w:numFmt w:val="bullet"/>
      <w:lvlText w:val="•"/>
      <w:lvlJc w:val="left"/>
      <w:pPr>
        <w:ind w:left="7100" w:hanging="216"/>
      </w:pPr>
    </w:lvl>
  </w:abstractNum>
  <w:num w:numId="1">
    <w:abstractNumId w:val="4"/>
  </w:num>
  <w:num w:numId="2">
    <w:abstractNumId w:val="0"/>
  </w:num>
  <w:num w:numId="3">
    <w:abstractNumId w:val="1"/>
  </w:num>
  <w:num w:numId="4">
    <w:abstractNumId w:val="9"/>
  </w:num>
  <w:num w:numId="5">
    <w:abstractNumId w:val="6"/>
  </w:num>
  <w:num w:numId="6">
    <w:abstractNumId w:val="5"/>
  </w:num>
  <w:num w:numId="7">
    <w:abstractNumId w:val="7"/>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172DBA"/>
    <w:rsid w:val="000E47DE"/>
    <w:rsid w:val="00126AB6"/>
    <w:rsid w:val="00130EAF"/>
    <w:rsid w:val="00133634"/>
    <w:rsid w:val="00172DBA"/>
    <w:rsid w:val="002558D0"/>
    <w:rsid w:val="004A4101"/>
    <w:rsid w:val="00617B0B"/>
    <w:rsid w:val="007217B9"/>
    <w:rsid w:val="007278F6"/>
    <w:rsid w:val="007E3D0D"/>
    <w:rsid w:val="00946557"/>
    <w:rsid w:val="00995F96"/>
    <w:rsid w:val="00A70D02"/>
    <w:rsid w:val="00CC48CA"/>
    <w:rsid w:val="00E6236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8D3237-7592-4A0E-B7BC-6511D43E1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172DBA"/>
    <w:pPr>
      <w:keepNext/>
      <w:keepLines/>
      <w:spacing w:before="400" w:after="120"/>
      <w:outlineLvl w:val="0"/>
    </w:pPr>
    <w:rPr>
      <w:sz w:val="40"/>
      <w:szCs w:val="40"/>
    </w:rPr>
  </w:style>
  <w:style w:type="paragraph" w:styleId="Ttulo2">
    <w:name w:val="heading 2"/>
    <w:basedOn w:val="Normal1"/>
    <w:next w:val="Normal1"/>
    <w:rsid w:val="00172DBA"/>
    <w:pPr>
      <w:keepNext/>
      <w:keepLines/>
      <w:spacing w:before="360" w:after="120"/>
      <w:outlineLvl w:val="1"/>
    </w:pPr>
    <w:rPr>
      <w:sz w:val="32"/>
      <w:szCs w:val="32"/>
    </w:rPr>
  </w:style>
  <w:style w:type="paragraph" w:styleId="Ttulo3">
    <w:name w:val="heading 3"/>
    <w:basedOn w:val="Normal1"/>
    <w:next w:val="Normal1"/>
    <w:rsid w:val="00172DBA"/>
    <w:pPr>
      <w:keepNext/>
      <w:keepLines/>
      <w:spacing w:before="320" w:after="80"/>
      <w:outlineLvl w:val="2"/>
    </w:pPr>
    <w:rPr>
      <w:color w:val="434343"/>
      <w:sz w:val="28"/>
      <w:szCs w:val="28"/>
    </w:rPr>
  </w:style>
  <w:style w:type="paragraph" w:styleId="Ttulo4">
    <w:name w:val="heading 4"/>
    <w:basedOn w:val="Normal1"/>
    <w:next w:val="Normal1"/>
    <w:rsid w:val="00172DBA"/>
    <w:pPr>
      <w:keepNext/>
      <w:keepLines/>
      <w:spacing w:before="280" w:after="80"/>
      <w:outlineLvl w:val="3"/>
    </w:pPr>
    <w:rPr>
      <w:color w:val="666666"/>
      <w:sz w:val="24"/>
      <w:szCs w:val="24"/>
    </w:rPr>
  </w:style>
  <w:style w:type="paragraph" w:styleId="Ttulo5">
    <w:name w:val="heading 5"/>
    <w:basedOn w:val="Normal1"/>
    <w:next w:val="Normal1"/>
    <w:rsid w:val="00172DBA"/>
    <w:pPr>
      <w:keepNext/>
      <w:keepLines/>
      <w:spacing w:before="240" w:after="80"/>
      <w:outlineLvl w:val="4"/>
    </w:pPr>
    <w:rPr>
      <w:color w:val="666666"/>
    </w:rPr>
  </w:style>
  <w:style w:type="paragraph" w:styleId="Ttulo6">
    <w:name w:val="heading 6"/>
    <w:basedOn w:val="Normal1"/>
    <w:next w:val="Normal1"/>
    <w:rsid w:val="00172DBA"/>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172DBA"/>
    <w:tblPr>
      <w:tblCellMar>
        <w:top w:w="100" w:type="dxa"/>
        <w:left w:w="100" w:type="dxa"/>
        <w:bottom w:w="100" w:type="dxa"/>
        <w:right w:w="100" w:type="dxa"/>
      </w:tblCellMar>
    </w:tblPr>
  </w:style>
  <w:style w:type="paragraph" w:customStyle="1" w:styleId="Normal1">
    <w:name w:val="Normal1"/>
    <w:rsid w:val="00172DBA"/>
  </w:style>
  <w:style w:type="paragraph" w:styleId="Puesto">
    <w:name w:val="Title"/>
    <w:basedOn w:val="Normal1"/>
    <w:next w:val="Normal1"/>
    <w:rsid w:val="00172DBA"/>
    <w:pPr>
      <w:keepNext/>
      <w:keepLines/>
      <w:spacing w:after="60"/>
    </w:pPr>
    <w:rPr>
      <w:sz w:val="52"/>
      <w:szCs w:val="52"/>
    </w:rPr>
  </w:style>
  <w:style w:type="paragraph" w:styleId="Subttulo">
    <w:name w:val="Subtitle"/>
    <w:basedOn w:val="Normal1"/>
    <w:next w:val="Normal1"/>
    <w:rsid w:val="00172DBA"/>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7217B9"/>
    <w:pPr>
      <w:spacing w:line="240" w:lineRule="auto"/>
    </w:pPr>
    <w:rPr>
      <w:rFonts w:ascii="Segoe UI" w:eastAsiaTheme="minorHAnsi" w:hAnsi="Segoe UI" w:cs="Segoe UI"/>
      <w:sz w:val="18"/>
      <w:szCs w:val="18"/>
      <w:lang w:val="en-US" w:eastAsia="en-US"/>
    </w:rPr>
  </w:style>
  <w:style w:type="character" w:customStyle="1" w:styleId="TextodegloboCar">
    <w:name w:val="Texto de globo Car"/>
    <w:basedOn w:val="Fuentedeprrafopredeter"/>
    <w:link w:val="Textodeglobo"/>
    <w:uiPriority w:val="99"/>
    <w:semiHidden/>
    <w:rsid w:val="007217B9"/>
    <w:rPr>
      <w:rFonts w:ascii="Segoe UI" w:eastAsiaTheme="minorHAns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9</Pages>
  <Words>2653</Words>
  <Characters>14597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17216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13</cp:revision>
  <cp:lastPrinted>2026-03-26T11:47:00Z</cp:lastPrinted>
  <dcterms:created xsi:type="dcterms:W3CDTF">2026-03-12T15:28:00Z</dcterms:created>
  <dcterms:modified xsi:type="dcterms:W3CDTF">2026-04-01T16:05:00Z</dcterms:modified>
</cp:coreProperties>
</file>