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4E9" w:rsidRDefault="00CD41AE" w:rsidP="000F227E">
      <w:pPr>
        <w:pStyle w:val="Normal1"/>
        <w:spacing w:line="360" w:lineRule="auto"/>
        <w:jc w:val="right"/>
        <w:rPr>
          <w:b/>
          <w:bCs/>
          <w:u w:val="single"/>
          <w:lang w:val="es-ES"/>
        </w:rPr>
      </w:pPr>
      <w:r w:rsidRPr="000F227E">
        <w:rPr>
          <w:b/>
          <w:bCs/>
          <w:u w:val="single"/>
          <w:lang w:val="es-ES"/>
        </w:rPr>
        <w:t>COMUNICACIÓN</w:t>
      </w:r>
      <w:r w:rsidR="000F227E" w:rsidRPr="000F227E">
        <w:rPr>
          <w:b/>
          <w:bCs/>
          <w:u w:val="single"/>
          <w:lang w:val="es-ES"/>
        </w:rPr>
        <w:t xml:space="preserve"> NÚMERO 2</w:t>
      </w:r>
      <w:r w:rsidR="00E55BE6">
        <w:rPr>
          <w:b/>
          <w:bCs/>
          <w:u w:val="single"/>
          <w:lang w:val="es-ES"/>
        </w:rPr>
        <w:t>.</w:t>
      </w:r>
      <w:r w:rsidR="000F227E" w:rsidRPr="000F227E">
        <w:rPr>
          <w:b/>
          <w:bCs/>
          <w:u w:val="single"/>
          <w:lang w:val="es-ES"/>
        </w:rPr>
        <w:t>875</w:t>
      </w:r>
    </w:p>
    <w:p w:rsidR="000F227E" w:rsidRDefault="000F227E" w:rsidP="000F227E">
      <w:pPr>
        <w:pStyle w:val="Normal1"/>
        <w:spacing w:line="360" w:lineRule="auto"/>
        <w:jc w:val="right"/>
        <w:rPr>
          <w:b/>
          <w:bCs/>
          <w:u w:val="single"/>
          <w:lang w:val="es-ES"/>
        </w:rPr>
      </w:pPr>
    </w:p>
    <w:p w:rsidR="000F227E" w:rsidRDefault="000F227E" w:rsidP="000F227E">
      <w:pPr>
        <w:pStyle w:val="Normal1"/>
        <w:spacing w:line="360" w:lineRule="auto"/>
        <w:jc w:val="both"/>
        <w:rPr>
          <w:b/>
          <w:lang w:val="es-ES"/>
        </w:rPr>
      </w:pPr>
      <w:r w:rsidRPr="00F41C0E">
        <w:rPr>
          <w:b/>
          <w:caps/>
          <w:lang w:val="es-ES"/>
        </w:rPr>
        <w:t>Expediente</w:t>
      </w:r>
      <w:r w:rsidRPr="00F41C0E">
        <w:rPr>
          <w:b/>
          <w:lang w:val="es-ES"/>
        </w:rPr>
        <w:t xml:space="preserve"> Nº 17.1</w:t>
      </w:r>
      <w:r>
        <w:rPr>
          <w:b/>
          <w:lang w:val="es-ES"/>
        </w:rPr>
        <w:t>24</w:t>
      </w:r>
      <w:r w:rsidRPr="00F41C0E">
        <w:rPr>
          <w:b/>
          <w:lang w:val="es-ES"/>
        </w:rPr>
        <w:t>/2026 C.D. (Archivo Nº 3</w:t>
      </w:r>
      <w:r>
        <w:rPr>
          <w:b/>
          <w:lang w:val="es-ES"/>
        </w:rPr>
        <w:t>16</w:t>
      </w:r>
      <w:r w:rsidRPr="00F41C0E">
        <w:rPr>
          <w:b/>
          <w:lang w:val="es-ES"/>
        </w:rPr>
        <w:t xml:space="preserve">/2026). </w:t>
      </w:r>
      <w:r w:rsidRPr="000F227E">
        <w:rPr>
          <w:b/>
          <w:bCs/>
          <w:lang w:val="es-ES"/>
        </w:rPr>
        <w:t xml:space="preserve">BLOQUE UNIÓN CÍVICA RADICAL. </w:t>
      </w:r>
      <w:r w:rsidRPr="000F227E">
        <w:rPr>
          <w:b/>
          <w:lang w:val="es-ES"/>
        </w:rPr>
        <w:t>Eleva proyectos de Resolución y de Comunicación referido</w:t>
      </w:r>
      <w:r w:rsidR="00E55BE6">
        <w:rPr>
          <w:b/>
          <w:lang w:val="es-ES"/>
        </w:rPr>
        <w:t>s</w:t>
      </w:r>
      <w:r w:rsidRPr="000F227E">
        <w:rPr>
          <w:b/>
          <w:lang w:val="es-ES"/>
        </w:rPr>
        <w:t xml:space="preserve"> a instar al Departamento Ejecutivo a impulsar en el Consejo de Administración de la Cooperativa Eléctrica de Azul Limitada (CEAL) la suspensión del cobro de intereses moratorios y de financiación en las facturas del servicio eléctrico; y solicitar a la referida cooperativa que informe aspectos vinculados a los mencionados intereses.</w:t>
      </w:r>
    </w:p>
    <w:p w:rsidR="000F227E" w:rsidRPr="000F227E" w:rsidRDefault="000F227E" w:rsidP="000F227E">
      <w:pPr>
        <w:pStyle w:val="Normal1"/>
        <w:spacing w:line="360" w:lineRule="auto"/>
        <w:jc w:val="both"/>
        <w:rPr>
          <w:b/>
          <w:bCs/>
          <w:u w:val="single"/>
          <w:lang w:val="es-ES"/>
        </w:rPr>
      </w:pPr>
    </w:p>
    <w:p w:rsidR="003345B3" w:rsidRPr="003345B3" w:rsidRDefault="003345B3" w:rsidP="003345B3">
      <w:pPr>
        <w:spacing w:line="360" w:lineRule="auto"/>
        <w:jc w:val="both"/>
        <w:rPr>
          <w:lang w:val="es-ES"/>
        </w:rPr>
      </w:pPr>
      <w:r w:rsidRPr="003345B3">
        <w:rPr>
          <w:b/>
          <w:bCs/>
          <w:lang w:val="es-ES"/>
        </w:rPr>
        <w:t xml:space="preserve">VISTA </w:t>
      </w:r>
      <w:r w:rsidRPr="003345B3">
        <w:rPr>
          <w:lang w:val="es-ES"/>
        </w:rPr>
        <w:t>la situación económica que atraviesan numerosas familias y pequeños comercios; las dificultades existentes para afrontar regularmente el pago de los servicios públicos de distribución de energía eléctrica y agua potable; los intereses moratorios y por financiación aplicados sobre las obligaciones vencidas y los planes de regularización; las suspensiones, restricciones y cortes del suministro derivados de la falta de pago; la Ley Provincial Nº 11.769 - Marco Regulatorio Eléctrico de la Provincia de Buenos Aires; la Ley Nacional Nº 24.240 de Defensa del Consumidor; y el Estatuto Social de la Cooperativa Eléctrica de Azul Limitada (CEAL).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b/>
          <w:bCs/>
          <w:lang w:val="es-ES"/>
        </w:rPr>
      </w:pP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b/>
          <w:bCs/>
          <w:lang w:val="es-ES"/>
        </w:rPr>
        <w:t>Y CONSIDERANDO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los suministros de energía eléctrica y de agua potable constituyen un servicio público esencial destinado a satisfacer necesidades indispensables de la población y su acceso es reconocido como un derecho humano fundamental, en tanto condición necesaria para una vida digna, el desarrollo de las actividades cotidianas y el ejercicio efectivo de otros derechos básicos.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el acceso regular a la energía eléctrica y al agua potable resulta esencial para el desenvolvimiento de la vida cotidiana de las familias y para el funcionamiento de las actividades comerciales, productivas y de servicios.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el marco regulatorio eléctrico provincial (Ley N° 11.769) reconoce entre sus objetivos la protección de los derechos de los usuarios, el acceso a la energía y la aplicación de tarifas justas y razonables.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Provincia de Buenos Aires reconoce a las cooperativas como concesionarias del servicio público de distribución eléctrica, en atención a su naturaleza, sus antecedentes históricos y el fin comunitario que persiguen.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lastRenderedPageBreak/>
        <w:t>Que el Estatuto Social de la Cooperativa Eléctrica de Azul Limitada establece que la entidad tiene por objeto principal proveer y distribuir energía eléctrica y prestar otros servicios y actividades que promuevan el bienestar de sus asociados y de la comunidad.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el mismo Estatuto incluye entre sus objetivos la promoción y difusión de los principios y la práctica del cooperativismo, sustentados en valores de solidaridad, ayuda mutua, responsabilidad y compromiso social.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función comunitaria de CEAL adquiere especial relevancia ante las dificultades económicas que atraviesan numerosos usuarios residenciales y pequeños comercios de nuestro Partido.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el incremento de los gastos corrientes, la pérdida de capacidad adquisitiva de los ingresos familiares y la retracción de la actividad comercial generan dificultades crecientes para afrontar las facturas de ambos servicios dentro de los plazos establecidos.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los pequeños comercios cumplen una función en la economía local, sostienen puestos de trabajo y brindan bienes y servicios esenciales en los distintos barrios y localidades de nuestro Partido.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falta de pago dentro del plazo establecido no responde necesariamente a una voluntad deliberada de incumplimiento, sino que, en numerosos casos, constituye la consecuencia de una imposibilidad económica transitoria.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Que, frente a esas dificultades, los usuarios deben recurrir a planes de financiación o mecanismos de regularización destinados a evitar la acumulación de deuda y la suspensión o restricción del suministro.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los intereses por financiación incrementan el valor final de dichos planes y pueden transformar una herramienta concebida para facilitar el cumplimiento en una nueva carga difícil de afrontar.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Que, del mismo modo, los intereses moratorios aplicados sobre las obligaciones vencidas aumentan progresivamente el monto adeudado y dificultan que los usuarios puedan regularizar efectivamente su situación.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acumulación de capital, intereses moratorios e intereses por financiación puede generar un proceso de endeudamiento creciente, en el cual los pagos efectuados resulten insuficientes para reducir sustancialmente la obligación principal.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lastRenderedPageBreak/>
        <w:t xml:space="preserve">Que la suspensión transitoria del </w:t>
      </w:r>
      <w:proofErr w:type="spellStart"/>
      <w:r w:rsidRPr="003345B3">
        <w:rPr>
          <w:lang w:val="es-ES"/>
        </w:rPr>
        <w:t>devengamiento</w:t>
      </w:r>
      <w:proofErr w:type="spellEnd"/>
      <w:r w:rsidRPr="003345B3">
        <w:rPr>
          <w:lang w:val="es-ES"/>
        </w:rPr>
        <w:t xml:space="preserve"> y cobro de dichos intereses permitiría que el esfuerzo económico realizado por los usuarios se destine prioritariamente a la cancelación del capital adeudado.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resulta imperioso establecer una herramienta excepcional de alivio y regularización, que no implique la condonación del consumo de energía correspondiente a los servicios de energía eléctrica y agua potable efectivamente realizados ni la eliminación de la obligación principal, sino un mecanismo orientado a facilitar el cumplimiento de las obligaciones por parte de los usuarios.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también corresponde conocer si los intereses se calculan exclusivamente sobre el capital adeudado o si se aplican sobre saldos que contienen intereses, recargos u otros conceptos previamente incorporados.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suspensión o el corte del suministro eléctrico y/o restricción del servicio de agua potable pueden producir consecuencias especialmente gravosas para las familias y para los pequeños comercios que dependen de estos servicios para conservar productos, utilizar equipamiento y desarrollar normalmente su actividad.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Que, por ello, resulta indispensable conocer la cantidad de avisos de deuda e intimaciones cursadas, las suspensiones efectivamente realizadas y su distribución por mes, localidad y categoría tarifaria.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información sobre la cantidad de usuarios en mora, la antigüedad de las deudas, los montos adeudados, los planes de financiación vigentes y las suspensiones o restricciones efectuadas permitirá determinar la verdadera dimensión social y económica de la problemática.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el artículo 66</w:t>
      </w:r>
      <w:r w:rsidR="00AE10CE">
        <w:rPr>
          <w:lang w:val="es-ES"/>
        </w:rPr>
        <w:t>º</w:t>
      </w:r>
      <w:r w:rsidRPr="003345B3">
        <w:rPr>
          <w:lang w:val="es-ES"/>
        </w:rPr>
        <w:t xml:space="preserve"> de la Ley Nº 11.769 establece que las Municipalidades deben asistir al Organismo de Control en la fiscalización de los concesionarios municipales y recibir los reclamos formulados por los usuarios respecto de la prestación del servicio.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el Estatuto Social de CEAL dispone que su administración se encuentra a cargo de un Consejo de Administración integrado, entre otros, por un miembro titular representante de la Municipalidad de Azul.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los artículos 60°, 61° y 66° del Estatuto reconocen expresamente a la Municipalidad de Azul el derecho a designar un representante titular ante dicho órgano de administración.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 xml:space="preserve">Que dicha representación es ejercida actualmente por el ingeniero Gustavo </w:t>
      </w:r>
      <w:proofErr w:type="spellStart"/>
      <w:r w:rsidRPr="003345B3">
        <w:rPr>
          <w:lang w:val="es-ES"/>
        </w:rPr>
        <w:t>Vitale</w:t>
      </w:r>
      <w:proofErr w:type="spellEnd"/>
      <w:r w:rsidRPr="003345B3">
        <w:rPr>
          <w:lang w:val="es-ES"/>
        </w:rPr>
        <w:t>, quien se desempeña asimismo como Secretario de Obras y Servicios Públicos de la Municipalidad de Azul.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la presencia de un representante municipal dentro del Consejo de Administración constituye un canal institucional idóneo para introducir, promover y defender propuestas vinculadas con las necesidades de los vecinos y los intereses generales de la comunidad.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dicha representación no debe limitarse a una presencia meramente formal, sino que debe traducirse en una participación activa frente a las problemáticas que afectan a los usuarios de los servicios públicos prestados por la Cooperativa.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Que, conforme el Estatuto Social, el Consejo de Administración debe reunirse periódicamente, registrar sus decisiones en el correspondiente libro de actas y resolver sobre la marcha administrativa y económica de la Cooperativa.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 corresponde, por lo tanto, instar al Departamento Ejecutivo Municipal a que, a través de su representante titular, impulse ante el Consejo de Administración una propuesta de alivio destinada a los usuarios residenciales y pequeños comercios.</w:t>
      </w:r>
    </w:p>
    <w:p w:rsidR="003345B3" w:rsidRPr="003345B3" w:rsidRDefault="003345B3" w:rsidP="003345B3">
      <w:pPr>
        <w:spacing w:line="360" w:lineRule="auto"/>
        <w:ind w:firstLine="850"/>
        <w:jc w:val="both"/>
        <w:rPr>
          <w:lang w:val="es-ES"/>
        </w:rPr>
      </w:pPr>
      <w:r w:rsidRPr="003345B3">
        <w:rPr>
          <w:lang w:val="es-ES"/>
        </w:rPr>
        <w:t>Que, paralelamente, resulta necesario solicitar a CEAL información completa, precisa y actualizada sobre la evolución de la mora, los planes de financiación, los intereses aplicados y las suspensiones o restricciones de suministros.</w:t>
      </w:r>
    </w:p>
    <w:p w:rsidR="00E624E9" w:rsidRPr="0079266D" w:rsidRDefault="003345B3" w:rsidP="003345B3">
      <w:pPr>
        <w:pStyle w:val="Normal1"/>
        <w:spacing w:line="360" w:lineRule="auto"/>
        <w:ind w:firstLine="850"/>
        <w:jc w:val="both"/>
        <w:rPr>
          <w:lang w:val="es-ES"/>
        </w:rPr>
      </w:pPr>
      <w:r w:rsidRPr="00195825">
        <w:rPr>
          <w:lang w:val="es-ES"/>
        </w:rPr>
        <w:t>Que ambos instrumentos resultan complementarios, en tanto procuran brindar una respuesta inmediata a las dificultades económicas de los usuarios y, al mismo tiempo, reunir los elementos necesarios para evaluar la magnitud y evolución de la problemática</w:t>
      </w:r>
      <w:r w:rsidR="00CD41AE" w:rsidRPr="0079266D">
        <w:rPr>
          <w:lang w:val="es-ES"/>
        </w:rPr>
        <w:t>.</w:t>
      </w:r>
    </w:p>
    <w:p w:rsidR="000F227E" w:rsidRPr="000F227E" w:rsidRDefault="000F227E" w:rsidP="000F227E">
      <w:pPr>
        <w:spacing w:line="360" w:lineRule="auto"/>
        <w:jc w:val="center"/>
        <w:rPr>
          <w:rFonts w:eastAsia="Calibri"/>
          <w:b/>
          <w:kern w:val="2"/>
          <w:lang w:val="es-ES"/>
        </w:rPr>
      </w:pPr>
      <w:r w:rsidRPr="000F227E">
        <w:rPr>
          <w:rFonts w:eastAsia="Calibri"/>
          <w:b/>
          <w:kern w:val="2"/>
          <w:lang w:val="es-ES"/>
        </w:rPr>
        <w:t>POR ELLO, tratado sobre tablas y aprobado por unanimidad</w:t>
      </w:r>
      <w:r>
        <w:rPr>
          <w:rFonts w:eastAsia="Calibri"/>
          <w:b/>
          <w:kern w:val="2"/>
          <w:lang w:val="es-ES"/>
        </w:rPr>
        <w:t xml:space="preserve"> de los presentes</w:t>
      </w:r>
    </w:p>
    <w:p w:rsidR="000F227E" w:rsidRPr="000F227E" w:rsidRDefault="000F227E" w:rsidP="000F227E">
      <w:pPr>
        <w:keepNext/>
        <w:spacing w:line="360" w:lineRule="auto"/>
        <w:jc w:val="center"/>
        <w:outlineLvl w:val="1"/>
        <w:rPr>
          <w:rFonts w:eastAsia="Calibri"/>
          <w:b/>
          <w:kern w:val="2"/>
          <w:lang w:val="es-ES"/>
        </w:rPr>
      </w:pPr>
      <w:r w:rsidRPr="000F227E">
        <w:rPr>
          <w:rFonts w:eastAsia="Calibri"/>
          <w:b/>
          <w:kern w:val="2"/>
          <w:lang w:val="es-ES"/>
        </w:rPr>
        <w:t>EL CONCEJO DELIBERANTE DEL PARTIDO DE AZUL</w:t>
      </w:r>
    </w:p>
    <w:p w:rsidR="000F227E" w:rsidRPr="000F227E" w:rsidRDefault="000F227E" w:rsidP="000F227E">
      <w:pPr>
        <w:spacing w:line="360" w:lineRule="auto"/>
        <w:jc w:val="center"/>
        <w:rPr>
          <w:rFonts w:eastAsia="Calibri"/>
          <w:b/>
          <w:kern w:val="2"/>
          <w:lang w:val="es-ES"/>
        </w:rPr>
      </w:pPr>
      <w:r w:rsidRPr="000F227E">
        <w:rPr>
          <w:rFonts w:eastAsia="Calibri"/>
          <w:b/>
          <w:kern w:val="2"/>
          <w:lang w:val="es-ES"/>
        </w:rPr>
        <w:t>Acuerda y resuelve la siguiente</w:t>
      </w:r>
    </w:p>
    <w:p w:rsidR="000F227E" w:rsidRDefault="000F227E" w:rsidP="000F227E">
      <w:pPr>
        <w:pStyle w:val="Normal1"/>
        <w:spacing w:line="360" w:lineRule="auto"/>
        <w:jc w:val="center"/>
        <w:rPr>
          <w:b/>
          <w:bCs/>
          <w:u w:val="single"/>
          <w:lang w:val="es-ES"/>
        </w:rPr>
      </w:pPr>
      <w:r w:rsidRPr="000F227E">
        <w:rPr>
          <w:rFonts w:eastAsia="Calibri"/>
          <w:b/>
          <w:kern w:val="2"/>
          <w:u w:val="single"/>
          <w:lang w:val="es-ES" w:eastAsia="en-US"/>
        </w:rPr>
        <w:t>COMUNICACIÓN</w:t>
      </w:r>
    </w:p>
    <w:p w:rsidR="006B5111" w:rsidRDefault="006B5111" w:rsidP="0079266D">
      <w:pPr>
        <w:pStyle w:val="Normal1"/>
        <w:spacing w:line="360" w:lineRule="auto"/>
        <w:jc w:val="both"/>
        <w:rPr>
          <w:b/>
          <w:bCs/>
          <w:u w:val="single"/>
          <w:lang w:val="es-ES"/>
        </w:rPr>
      </w:pPr>
    </w:p>
    <w:p w:rsidR="003345B3" w:rsidRPr="0079266D" w:rsidRDefault="003345B3" w:rsidP="003345B3">
      <w:pPr>
        <w:pStyle w:val="Normal1"/>
        <w:spacing w:line="360" w:lineRule="auto"/>
        <w:jc w:val="both"/>
        <w:rPr>
          <w:b/>
          <w:bCs/>
          <w:color w:val="000000"/>
          <w:lang w:val="es-ES"/>
        </w:rPr>
      </w:pPr>
      <w:r w:rsidRPr="0079266D">
        <w:rPr>
          <w:b/>
          <w:bCs/>
          <w:u w:val="single"/>
          <w:lang w:val="es-ES"/>
        </w:rPr>
        <w:t>ARTÍCULO 1°.-</w:t>
      </w:r>
      <w:r w:rsidRPr="0079266D">
        <w:rPr>
          <w:lang w:val="es-ES"/>
        </w:rPr>
        <w:t xml:space="preserve"> SOLICÍTASE a la Cooperativa Eléctrica de Azul Limitada (CEAL) que informe a este Cuerpo, respecto del período comprendido desde el 1º de enero de 2025 a la fecha, la siguiente información vinculada con la prestación del servicio de distribución de energía eléctric</w:t>
      </w:r>
      <w:r w:rsidRPr="007A5FB4">
        <w:rPr>
          <w:lang w:val="es-ES"/>
        </w:rPr>
        <w:t>a y de provisión de agua potable, discriminada por tipo de servicio: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a) Cantidad de usuarios en mora, discriminados por localidad y categoría tarifaria aplicable.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b) Distribución de los usuarios morosos según la antigüedad de la deuda, diferenciando los siguientes períodos:</w:t>
      </w:r>
    </w:p>
    <w:p w:rsidR="003345B3" w:rsidRPr="0026236B" w:rsidRDefault="003345B3" w:rsidP="003345B3">
      <w:pPr>
        <w:pStyle w:val="Normal1"/>
        <w:numPr>
          <w:ilvl w:val="0"/>
          <w:numId w:val="1"/>
        </w:numPr>
        <w:spacing w:line="360" w:lineRule="auto"/>
      </w:pPr>
      <w:r w:rsidRPr="0026236B">
        <w:t xml:space="preserve">Hasta TREINTA (30) </w:t>
      </w:r>
      <w:proofErr w:type="spellStart"/>
      <w:r w:rsidRPr="0026236B">
        <w:t>días</w:t>
      </w:r>
      <w:proofErr w:type="spellEnd"/>
      <w:r w:rsidRPr="0026236B">
        <w:t>.</w:t>
      </w:r>
    </w:p>
    <w:p w:rsidR="003345B3" w:rsidRPr="0079266D" w:rsidRDefault="003345B3" w:rsidP="003345B3">
      <w:pPr>
        <w:pStyle w:val="Normal1"/>
        <w:numPr>
          <w:ilvl w:val="0"/>
          <w:numId w:val="1"/>
        </w:numPr>
        <w:spacing w:line="360" w:lineRule="auto"/>
        <w:rPr>
          <w:lang w:val="es-ES"/>
        </w:rPr>
      </w:pPr>
      <w:r w:rsidRPr="0079266D">
        <w:rPr>
          <w:lang w:val="es-ES"/>
        </w:rPr>
        <w:t>Entre TREINTA Y UN (31) y SESENTA (60) días.</w:t>
      </w:r>
    </w:p>
    <w:p w:rsidR="003345B3" w:rsidRPr="0079266D" w:rsidRDefault="003345B3" w:rsidP="003345B3">
      <w:pPr>
        <w:pStyle w:val="Normal1"/>
        <w:numPr>
          <w:ilvl w:val="0"/>
          <w:numId w:val="1"/>
        </w:numPr>
        <w:spacing w:line="360" w:lineRule="auto"/>
        <w:rPr>
          <w:lang w:val="es-ES"/>
        </w:rPr>
      </w:pPr>
      <w:r w:rsidRPr="0079266D">
        <w:rPr>
          <w:lang w:val="es-ES"/>
        </w:rPr>
        <w:t>Entre SESENTA Y UN (61) y NOVENTA (90) días.</w:t>
      </w:r>
    </w:p>
    <w:p w:rsidR="003345B3" w:rsidRPr="0026236B" w:rsidRDefault="003345B3" w:rsidP="003345B3">
      <w:pPr>
        <w:pStyle w:val="Normal1"/>
        <w:numPr>
          <w:ilvl w:val="0"/>
          <w:numId w:val="1"/>
        </w:numPr>
        <w:spacing w:line="360" w:lineRule="auto"/>
      </w:pPr>
      <w:proofErr w:type="spellStart"/>
      <w:r w:rsidRPr="0026236B">
        <w:t>Más</w:t>
      </w:r>
      <w:proofErr w:type="spellEnd"/>
      <w:r w:rsidRPr="0026236B">
        <w:t xml:space="preserve"> de NOVENTA (90) </w:t>
      </w:r>
      <w:proofErr w:type="spellStart"/>
      <w:r w:rsidRPr="0026236B">
        <w:t>días</w:t>
      </w:r>
      <w:proofErr w:type="spellEnd"/>
      <w:r w:rsidRPr="0026236B">
        <w:t>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c) Monto total del capital adeudado por los usuarios al cierre de cada mes, discriminado por localidad y categoría tarifaria.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d) Monto total de los intereses moratorios devengados y efectivamente percibidos durante cada mes.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e) Cantidad de usuarios incorporados a planes de financiación o regularización, discriminados por mes, localidad y categoría tarifaria.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f) Monto total del capital comprendido en planes de financiación o regularización, así como de los intereses de financiación devengados y efectivamente cobrados durante cada mes.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 w:rsidRPr="0079266D">
        <w:rPr>
          <w:lang w:val="es-ES"/>
        </w:rPr>
        <w:t>g) Tasa o porcentaje de interés aplicado a los planes de financiación o regularización, indicando la metodología y la base utilizadas para su cálculo.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>
        <w:rPr>
          <w:lang w:val="es-ES"/>
        </w:rPr>
        <w:t>h</w:t>
      </w:r>
      <w:r w:rsidRPr="0079266D">
        <w:rPr>
          <w:lang w:val="es-ES"/>
        </w:rPr>
        <w:t>) Norma, resolución, cuadro tarifario, acta, disposición o decisión administrativa que autorice la aplicación de los intereses moratorios y de financiación, acompañando copia de la documentación correspondiente.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>
        <w:rPr>
          <w:lang w:val="es-ES"/>
        </w:rPr>
        <w:t>i</w:t>
      </w:r>
      <w:r w:rsidRPr="0079266D">
        <w:rPr>
          <w:lang w:val="es-ES"/>
        </w:rPr>
        <w:t>) Indicación de si los intereses moratorios y de financiación se calculan exclusivamente sobre el capital adeudado o sobre saldos que incluyan intereses, recargos u otros conceptos, detallando la fórmula aplicada en cada caso.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>
        <w:rPr>
          <w:lang w:val="es-ES"/>
        </w:rPr>
        <w:t>j</w:t>
      </w:r>
      <w:r w:rsidRPr="0079266D">
        <w:rPr>
          <w:lang w:val="es-ES"/>
        </w:rPr>
        <w:t>) Cantidad de avisos de deuda, intimaciones y requerimientos de pago cursados durante cada mes, discriminados por localidad y categoría tarifaria.</w:t>
      </w:r>
    </w:p>
    <w:p w:rsidR="003345B3" w:rsidRPr="0079266D" w:rsidRDefault="003345B3" w:rsidP="003345B3">
      <w:pPr>
        <w:pStyle w:val="Normal1"/>
        <w:spacing w:line="360" w:lineRule="auto"/>
        <w:jc w:val="both"/>
        <w:rPr>
          <w:lang w:val="es-ES"/>
        </w:rPr>
      </w:pPr>
      <w:r>
        <w:rPr>
          <w:lang w:val="es-ES"/>
        </w:rPr>
        <w:t>l</w:t>
      </w:r>
      <w:r w:rsidRPr="0079266D">
        <w:rPr>
          <w:lang w:val="es-ES"/>
        </w:rPr>
        <w:t>) Cantidad de suspensiones del suministro realizadas por falta de pago, discriminadas por mes, localidad y categoría tarifaria.</w:t>
      </w:r>
    </w:p>
    <w:p w:rsidR="003345B3" w:rsidRPr="00355402" w:rsidRDefault="003345B3" w:rsidP="003345B3">
      <w:pPr>
        <w:pStyle w:val="Normal1"/>
        <w:spacing w:line="360" w:lineRule="auto"/>
        <w:jc w:val="both"/>
        <w:rPr>
          <w:b/>
          <w:bCs/>
          <w:u w:val="single"/>
          <w:lang w:val="es-AR"/>
        </w:rPr>
      </w:pPr>
    </w:p>
    <w:p w:rsidR="006B5111" w:rsidRPr="006B5111" w:rsidRDefault="00CD41AE" w:rsidP="006B5111">
      <w:pPr>
        <w:spacing w:line="360" w:lineRule="auto"/>
        <w:jc w:val="both"/>
        <w:rPr>
          <w:rFonts w:eastAsia="Times New Roman"/>
          <w:lang w:val="es-ES"/>
        </w:rPr>
      </w:pPr>
      <w:r w:rsidRPr="006B5111">
        <w:rPr>
          <w:b/>
          <w:bCs/>
          <w:u w:val="single"/>
          <w:lang w:val="es-ES"/>
        </w:rPr>
        <w:t>ARTÍCULO 2°.-</w:t>
      </w:r>
      <w:r w:rsidRPr="006B5111">
        <w:rPr>
          <w:lang w:val="es-ES"/>
        </w:rPr>
        <w:t xml:space="preserve"> </w:t>
      </w:r>
      <w:r w:rsidR="006B5111" w:rsidRPr="006B5111">
        <w:rPr>
          <w:rFonts w:eastAsia="Times New Roman"/>
          <w:lang w:val="es-ES"/>
        </w:rPr>
        <w:t>COMUNÍCASE al Departamento Ejecutivo.</w:t>
      </w:r>
    </w:p>
    <w:p w:rsidR="006B5111" w:rsidRPr="006B5111" w:rsidRDefault="006B5111" w:rsidP="00E55BE6">
      <w:pPr>
        <w:spacing w:line="360" w:lineRule="auto"/>
        <w:ind w:left="1418"/>
        <w:jc w:val="both"/>
        <w:rPr>
          <w:rFonts w:eastAsia="Times New Roman"/>
          <w:lang w:val="es-ES"/>
        </w:rPr>
      </w:pPr>
      <w:r w:rsidRPr="006B5111">
        <w:rPr>
          <w:rFonts w:eastAsia="Times New Roman"/>
          <w:lang w:val="es-ES"/>
        </w:rPr>
        <w:t xml:space="preserve">DADA en la Sala de Sesiones del Concejo Deliberante del partido de Azul, en la ciudad de Azul, provincia de Buenos Aires, a los cuatro días del mes de agosto de dos mil veintiséis. </w:t>
      </w:r>
    </w:p>
    <w:p w:rsidR="006B5111" w:rsidRPr="006B5111" w:rsidRDefault="003345B3" w:rsidP="006B5111">
      <w:pPr>
        <w:spacing w:line="360" w:lineRule="auto"/>
        <w:jc w:val="both"/>
        <w:rPr>
          <w:rFonts w:eastAsia="Times New Roman"/>
          <w:lang w:val="es-ES"/>
        </w:rPr>
      </w:pPr>
      <w:r>
        <w:rPr>
          <w:rFonts w:eastAsia="Times New Roman"/>
          <w:lang w:val="es-ES"/>
        </w:rPr>
        <w:t>10</w:t>
      </w:r>
      <w:r w:rsidR="006B5111" w:rsidRPr="006B5111">
        <w:rPr>
          <w:rFonts w:eastAsia="Times New Roman"/>
          <w:lang w:val="es-ES"/>
        </w:rPr>
        <w:t>/08/2026.-uem.</w:t>
      </w:r>
      <w:bookmarkStart w:id="0" w:name="_GoBack"/>
      <w:bookmarkEnd w:id="0"/>
    </w:p>
    <w:p w:rsidR="00E624E9" w:rsidRPr="0026236B" w:rsidRDefault="00E624E9" w:rsidP="0079266D">
      <w:pPr>
        <w:pStyle w:val="Normal1"/>
        <w:spacing w:line="360" w:lineRule="auto"/>
        <w:jc w:val="both"/>
      </w:pPr>
    </w:p>
    <w:p w:rsidR="00E624E9" w:rsidRPr="0026236B" w:rsidRDefault="00E624E9" w:rsidP="0079266D">
      <w:pPr>
        <w:pStyle w:val="Normal1"/>
        <w:spacing w:line="360" w:lineRule="auto"/>
        <w:jc w:val="both"/>
        <w:rPr>
          <w:b/>
          <w:bCs/>
        </w:rPr>
      </w:pPr>
    </w:p>
    <w:sectPr w:rsidR="00E624E9" w:rsidRPr="0026236B" w:rsidSect="00CD41AE">
      <w:pgSz w:w="12240" w:h="20160"/>
      <w:pgMar w:top="3686" w:right="851" w:bottom="3119" w:left="2835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51F3143-86D5-43A9-AE79-70D8EDFA1EF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C2F89544-2864-42E0-9736-7F960E3FB165}"/>
    <w:embedBold r:id="rId3" w:fontKey="{115300F6-6589-4210-AAE1-CDB68684CF8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3B682D1-073B-42AF-B63D-24D616F5170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0C6723"/>
    <w:multiLevelType w:val="multilevel"/>
    <w:tmpl w:val="469C1AC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>
    <w:nsid w:val="30364663"/>
    <w:multiLevelType w:val="multilevel"/>
    <w:tmpl w:val="1A42C87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mirrorMargin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624E9"/>
    <w:rsid w:val="000F227E"/>
    <w:rsid w:val="0026236B"/>
    <w:rsid w:val="003345B3"/>
    <w:rsid w:val="006B5111"/>
    <w:rsid w:val="0079266D"/>
    <w:rsid w:val="00AE10CE"/>
    <w:rsid w:val="00CD41AE"/>
    <w:rsid w:val="00D87BD9"/>
    <w:rsid w:val="00E55BE6"/>
    <w:rsid w:val="00E6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A505EB3-1B14-4CED-8F35-DA988CA7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E624E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link w:val="Ttulo2Car"/>
    <w:rsid w:val="00E624E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E624E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E624E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E624E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E624E9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E624E9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rsid w:val="00E624E9"/>
  </w:style>
  <w:style w:type="paragraph" w:styleId="Puesto">
    <w:name w:val="Title"/>
    <w:basedOn w:val="Normal1"/>
    <w:next w:val="Normal1"/>
    <w:rsid w:val="00E624E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E624E9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26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266D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link w:val="Ttulo2"/>
    <w:rsid w:val="000F227E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1662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10787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8</cp:revision>
  <cp:lastPrinted>2026-07-30T16:58:00Z</cp:lastPrinted>
  <dcterms:created xsi:type="dcterms:W3CDTF">2026-07-30T16:34:00Z</dcterms:created>
  <dcterms:modified xsi:type="dcterms:W3CDTF">2026-08-10T14:17:00Z</dcterms:modified>
</cp:coreProperties>
</file>