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F75" w:rsidRPr="001D32AB" w:rsidRDefault="00C80F75" w:rsidP="001D32AB">
      <w:pPr>
        <w:spacing w:line="360" w:lineRule="auto"/>
        <w:jc w:val="right"/>
        <w:rPr>
          <w:b/>
          <w:u w:val="single"/>
        </w:rPr>
      </w:pPr>
      <w:r w:rsidRPr="001D32AB">
        <w:rPr>
          <w:b/>
          <w:u w:val="single"/>
        </w:rPr>
        <w:t>COMUNICACIÓN NÚMERO 2.869</w:t>
      </w:r>
    </w:p>
    <w:p w:rsidR="00C80F75" w:rsidRPr="001D32AB" w:rsidRDefault="00C80F75" w:rsidP="001D32AB">
      <w:pPr>
        <w:spacing w:line="360" w:lineRule="auto"/>
        <w:jc w:val="right"/>
        <w:rPr>
          <w:b/>
          <w:u w:val="single"/>
        </w:rPr>
      </w:pPr>
    </w:p>
    <w:p w:rsidR="00C80F75" w:rsidRPr="001D32AB" w:rsidRDefault="00C80F75" w:rsidP="001D32AB">
      <w:pPr>
        <w:spacing w:line="360" w:lineRule="auto"/>
        <w:jc w:val="both"/>
        <w:rPr>
          <w:b/>
        </w:rPr>
      </w:pPr>
      <w:r w:rsidRPr="001D32AB">
        <w:rPr>
          <w:b/>
        </w:rPr>
        <w:t xml:space="preserve">EXPEDIENTE Nº 17.101/2026 C.D. (Archivo Nº 300/2026). </w:t>
      </w:r>
      <w:r w:rsidRPr="001D32AB">
        <w:rPr>
          <w:b/>
          <w:lang w:val="es-ES"/>
        </w:rPr>
        <w:t xml:space="preserve">BLOQUE UNIÓN CÍVICA RADICAL. Eleva proyecto de Comunicación referido a solicitar al Ministerio de Transporte de la Provincia y a la Agencia Nacional de Seguridad Vial que informe aspectos relacionados a modificaciones en el trámite de Licencias Nacionales de Conducir para clases profesionales </w:t>
      </w:r>
      <w:proofErr w:type="spellStart"/>
      <w:r w:rsidRPr="001D32AB">
        <w:rPr>
          <w:b/>
          <w:lang w:val="es-ES"/>
        </w:rPr>
        <w:t>interjurisdiccionales</w:t>
      </w:r>
      <w:proofErr w:type="spellEnd"/>
      <w:r w:rsidRPr="001D32AB">
        <w:rPr>
          <w:b/>
          <w:lang w:val="es-ES"/>
        </w:rPr>
        <w:t>.</w:t>
      </w:r>
    </w:p>
    <w:p w:rsidR="00C80F75" w:rsidRPr="001D32AB" w:rsidRDefault="00C80F75" w:rsidP="001D32AB">
      <w:pPr>
        <w:spacing w:line="360" w:lineRule="auto"/>
        <w:jc w:val="center"/>
        <w:rPr>
          <w:b/>
        </w:rPr>
      </w:pPr>
    </w:p>
    <w:p w:rsidR="0093648D" w:rsidRPr="001D32AB" w:rsidRDefault="00C80F75" w:rsidP="001D32AB">
      <w:pPr>
        <w:spacing w:line="360" w:lineRule="auto"/>
        <w:jc w:val="both"/>
        <w:rPr>
          <w:b/>
          <w:bCs/>
        </w:rPr>
      </w:pPr>
      <w:r w:rsidRPr="001D32AB">
        <w:rPr>
          <w:b/>
        </w:rPr>
        <w:t>VISTA</w:t>
      </w:r>
      <w:r w:rsidRPr="001D32AB">
        <w:rPr>
          <w:b/>
          <w:bCs/>
        </w:rPr>
        <w:t xml:space="preserve"> </w:t>
      </w:r>
      <w:r w:rsidRPr="001D32AB">
        <w:t xml:space="preserve">la Circular Nº4 dictada por la Dirección Provincial de Licencias de Conducir y Antecedentes de Tránsito que implementa el nuevo proceso para la emisión de la Licencia Nacional de Conducir para clases profesionales </w:t>
      </w:r>
      <w:proofErr w:type="spellStart"/>
      <w:r w:rsidRPr="001D32AB">
        <w:t>interjurisdiccionales</w:t>
      </w:r>
      <w:proofErr w:type="spellEnd"/>
      <w:r w:rsidRPr="001D32AB">
        <w:t>.</w:t>
      </w:r>
    </w:p>
    <w:p w:rsidR="0093648D" w:rsidRPr="001D32AB" w:rsidRDefault="0093648D" w:rsidP="001D32AB">
      <w:pPr>
        <w:pStyle w:val="Normal1"/>
        <w:pBdr>
          <w:top w:val="nil"/>
          <w:left w:val="nil"/>
          <w:bottom w:val="nil"/>
          <w:right w:val="nil"/>
          <w:between w:val="nil"/>
        </w:pBdr>
        <w:spacing w:line="360" w:lineRule="auto"/>
        <w:jc w:val="both"/>
        <w:rPr>
          <w:color w:val="000000"/>
        </w:rPr>
      </w:pPr>
    </w:p>
    <w:p w:rsidR="0093648D" w:rsidRPr="001D32AB" w:rsidRDefault="00C80F75" w:rsidP="001D32AB">
      <w:pPr>
        <w:pStyle w:val="Normal1"/>
        <w:pBdr>
          <w:top w:val="nil"/>
          <w:left w:val="nil"/>
          <w:bottom w:val="nil"/>
          <w:right w:val="nil"/>
          <w:between w:val="nil"/>
        </w:pBdr>
        <w:spacing w:line="360" w:lineRule="auto"/>
        <w:ind w:firstLine="850"/>
        <w:jc w:val="both"/>
      </w:pPr>
      <w:r w:rsidRPr="001D32AB">
        <w:rPr>
          <w:b/>
          <w:bCs/>
          <w:color w:val="000000"/>
        </w:rPr>
        <w:t>Y CONSIDERANDO</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la licencia profesional de conducir constituye una herramienta indispensable para el ejercicio laboral de quienes desarrollan actividades vinculadas con el transporte de cargas, pasajeros, mercaderías, maquinaria y servicios de emergencia.</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las exigencias destinadas a comprobar la aptitud psicofísica y la idoneidad de los conductores profesionales resultan necesarias para preservar la seguridad vial, debiendo organizarse de manera razonable y accesible.</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 xml:space="preserve">Que el artículo 13°, inciso h), de la Ley Nacional N° 24.449 establece que corresponde a la Nación otorgar las licencias para conducir vehículos destinados al transporte </w:t>
      </w:r>
      <w:proofErr w:type="spellStart"/>
      <w:r w:rsidRPr="001D32AB">
        <w:t>interjurisdiccional</w:t>
      </w:r>
      <w:proofErr w:type="spellEnd"/>
      <w:r w:rsidRPr="001D32AB">
        <w:t xml:space="preserve"> de pasajeros y cargas, pudiendo delegar dicha facultad mediante convenios con las provincias y la Ciudad Autónoma de Buenos Aires.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la Ley Nacional N° 26.363 creó la Agencia Nacional de Seguridad Vial y le asignó, entre otras funciones, establecer los procedimientos para el otorgamiento de la Licencia Nacional de Conducir, autorizar a los organismos emisores, certificar los Centros de Emisión de Licencias y administrar los registros correspondientes.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en el orden provincial, el régimen establecido originalmente por la Ley N° 11.430 y el Decreto N° 2719/1994 fue sustituido por la Ley N° 13.927 y su Decreto Reglamentario N° 532/2009, consolidándose un sistema en el cual la Provincia emite las licencias y delega en los municipios la tramitación y el otorgamiento correspondiente.</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 xml:space="preserve">Que el artículo 8° de la Ley Provincial N° 13.927 dispone que el otorgamiento de las licencias, en forma delegada, estará a cargo de la Municipalidad que </w:t>
      </w:r>
      <w:r w:rsidRPr="001D32AB">
        <w:lastRenderedPageBreak/>
        <w:t>corresponda según el domicilio del interesado, previa consulta de los antecedentes nacionales y provinciales.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el Decreto Nacional N° 196/2025 modificó la reglamentación de la Ley Nacional de Tránsito con el objetivo declarado de simplificar los trámites, reducir los tiempos de atención y descentralizar la realización de cursos y evaluaciones.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 xml:space="preserve">Que esa reforma sustituyó el sistema basado en una licencia local o provincial y una habilitación nacional adicional para el transporte </w:t>
      </w:r>
      <w:proofErr w:type="spellStart"/>
      <w:r w:rsidRPr="001D32AB">
        <w:t>interjurisdiccional</w:t>
      </w:r>
      <w:proofErr w:type="spellEnd"/>
      <w:r w:rsidRPr="001D32AB">
        <w:t>, integrando ambas habilitaciones en una única Licencia Nacional de Conducir profesional de las clases C, D y E.</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 xml:space="preserve">Que, con anterioridad a esta reforma, los conductores </w:t>
      </w:r>
      <w:proofErr w:type="spellStart"/>
      <w:r w:rsidRPr="001D32AB">
        <w:t>interjurisdiccionales</w:t>
      </w:r>
      <w:proofErr w:type="spellEnd"/>
      <w:r w:rsidRPr="001D32AB">
        <w:t xml:space="preserve"> estuvieron alcanzados por el régimen de la Licencia Nacional Habilitante, regulado desde 1999 y administrado por la Comisión Nacional de Regulación del Transporte, y posteriormente por la Licencia Nacional de Transporte </w:t>
      </w:r>
      <w:proofErr w:type="spellStart"/>
      <w:r w:rsidRPr="001D32AB">
        <w:t>Interjurisdiccional</w:t>
      </w:r>
      <w:proofErr w:type="spellEnd"/>
      <w:r w:rsidRPr="001D32AB">
        <w:t xml:space="preserve"> —</w:t>
      </w:r>
      <w:proofErr w:type="spellStart"/>
      <w:r w:rsidRPr="001D32AB">
        <w:t>LiNTI</w:t>
      </w:r>
      <w:proofErr w:type="spellEnd"/>
      <w:r w:rsidRPr="001D32AB">
        <w:t>—, creada en 2019 y administrada por la Agencia Nacional de Seguridad Vial.</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 xml:space="preserve">Que la Disposición ANSV N° 48/2019 establecía un régimen de aranceles regulados y actualizados por la autoridad nacional para las evaluaciones psicofísicas, la capacitación y los derechos de emisión correspondientes a la </w:t>
      </w:r>
      <w:proofErr w:type="spellStart"/>
      <w:r w:rsidRPr="001D32AB">
        <w:t>LiNTI</w:t>
      </w:r>
      <w:proofErr w:type="spellEnd"/>
      <w:r w:rsidRPr="001D32AB">
        <w:t>.</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el mismo régimen anterior disponía expresamente que el operador de transporte debía abonar el examen psicofísico del trabajador a su cargo, sin poder trasladarle ese costo, y que el tiempo utilizado para realizar dicha evaluación debía considerarse con goce de haberes o compensarse laboralmente.</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 xml:space="preserve">Que la Disposición ANSV N° 54/2025 reglamentó la transición al nuevo sistema, derogó el régimen de la </w:t>
      </w:r>
      <w:proofErr w:type="spellStart"/>
      <w:r w:rsidRPr="001D32AB">
        <w:t>LiNTI</w:t>
      </w:r>
      <w:proofErr w:type="spellEnd"/>
      <w:r w:rsidRPr="001D32AB">
        <w:t xml:space="preserve"> y estableció la necesidad de celebrar convenios con las provincias para delegar el otorgamiento de las licencias profesionales </w:t>
      </w:r>
      <w:proofErr w:type="spellStart"/>
      <w:r w:rsidRPr="001D32AB">
        <w:t>interjurisdiccionales</w:t>
      </w:r>
      <w:proofErr w:type="spellEnd"/>
      <w:r w:rsidRPr="001D32AB">
        <w:t>.</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la implementación del nuevo sistema no fue inmediata en la Provincia de Buenos Aires, por lo que durante el período de transición continuó aplicándose la operatoria provincial existente hasta la formalización y puesta en funcionamiento de la delegación acordada con la Agencia Nacional de Seguridad Vial.</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la Disposición ANSV N° 219/2025 sustituyó la reglamentación dictada pocos meses antes y reconoció expresamente que la implementación de la reforma había presentado numerosas dificultades operativas y logísticas, generando demoras y mayores costos para los usuarios.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la normativa vigente permite que los prestadores médicos y de capacitación establezcan libremente sus aranceles.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lastRenderedPageBreak/>
        <w:t>Que la libertad otorgada a los prestadores para determinar precios no excluye las facultades ni las responsabilidades de fiscalización de la Agencia Nacional de Seguridad Vial, especialmente frente a valores que podrían resultar desproporcionados.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 xml:space="preserve">Que mediante el Decreto Provincial N° 3153/2025 se aprobó el Convenio Específico por el cual la Agencia Nacional de Seguridad Vial delegó en la Provincia de Buenos Aires el otorgamiento de las licencias profesionales </w:t>
      </w:r>
      <w:proofErr w:type="spellStart"/>
      <w:r w:rsidRPr="001D32AB">
        <w:t>interjurisdiccionales</w:t>
      </w:r>
      <w:proofErr w:type="spellEnd"/>
      <w:r w:rsidRPr="001D32AB">
        <w:t xml:space="preserve"> de las clases C, D y E.</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el referido convenio mantiene en cabeza de la Agencia Nacional de Seguridad Vial la determinación de las condiciones generales, la administración del registro de prestadores y la validación de las evaluaciones realizadas.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asimismo, la Provincia de Buenos Aires puede intervenir en tareas conjuntas de auditoría, poner en conocimiento de la autoridad nacional las irregularidades detectadas y solicitar, cuando corresponda, la suspensión preventiva de prestadores.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 xml:space="preserve">Que la Circular Provincial N° 4/2026 puso en funcionamiento el nuevo procedimiento a partir del 6 de julio de 2026 y distinguió entre licencias profesionales de carácter jurisdiccional e </w:t>
      </w:r>
      <w:proofErr w:type="spellStart"/>
      <w:r w:rsidRPr="001D32AB">
        <w:t>interjurisdiccional</w:t>
      </w:r>
      <w:proofErr w:type="spellEnd"/>
      <w:r w:rsidRPr="001D32AB">
        <w:t>.</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las licencias jurisdiccionales habilitan para realizar transporte dentro de la Provincia de Buenos Aires y mantienen las evaluaciones psicofísicas, teóricas y prácticas dentro del Centro de Emisión de Licencias correspondiente.</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 xml:space="preserve">Que, por el contrario, para obtener o renovar una licencia profesional </w:t>
      </w:r>
      <w:proofErr w:type="spellStart"/>
      <w:r w:rsidRPr="001D32AB">
        <w:t>interjurisdiccional</w:t>
      </w:r>
      <w:proofErr w:type="spellEnd"/>
      <w:r w:rsidRPr="001D32AB">
        <w:t>, el interesado debe realizar la evaluación psicofísica ante un prestador registrado por la Agencia Nacional de Seguridad Vial y la capacitación o evaluación teórico-práctica ante otro prestador incorporado al registro nacional.</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 xml:space="preserve">Que las subclases C1, D1, D2, D3, D4 y E2 pueden tramitarse con alcance jurisdiccional o </w:t>
      </w:r>
      <w:proofErr w:type="spellStart"/>
      <w:r w:rsidRPr="001D32AB">
        <w:t>interjurisdiccional</w:t>
      </w:r>
      <w:proofErr w:type="spellEnd"/>
      <w:r w:rsidRPr="001D32AB">
        <w:t xml:space="preserve">, mientras que las subclases C2, C3 y E1 son exclusivamente </w:t>
      </w:r>
      <w:proofErr w:type="spellStart"/>
      <w:r w:rsidRPr="001D32AB">
        <w:t>interjurisdiccionales</w:t>
      </w:r>
      <w:proofErr w:type="spellEnd"/>
      <w:r w:rsidRPr="001D32AB">
        <w:t>.</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en las renovaciones, el conductor debe realizar la evaluación psicofísica completa y una capacitación obligatoria, mientras que en los trámites de ampliación debe cumplir también con las evaluaciones teóricas y prácticas correspondientes.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el inicio y la finalización del trámite continúan realizándose ante el Centro de Emisión de Licencias municipal, cuyo funcionario conserva la responsabilidad de aprobar el trámite y emitir la licencia.</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también se mantienen el pago del Certificado Nacional de Antecedentes de Tránsito (CENAT), el Certificado Provincial de Antecedentes de Tránsito (CEPAT) y la tasa municipal, a los que ahora se adicionan los valores cobrados por los prestadores externos.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la acumulación de tasas públicas, evaluaciones médicas y cursos privados vuelve indispensable identificar con precisión cada uno de los componentes del costo final, su destinatario y el fundamento económico de su determinación.</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de acuerdo con el registro oficial de prestadores consultado, en el Partido de Azul existe actualmente un prestador de capacitación para las clases C, D y E, pero no se encuentra registrado ningún prestador encargado de efectuar las evaluaciones psicofísicas obligatorias.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esta situación obliga a los conductores del Partido de Azul a trasladarse a otros municipios para completar una instancia indispensable del trámite, sumando al valor del examen los gastos asociados.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la extensión territorial del partido de Azul y las distancias existentes entre la ciudad cabecera y las localidades de Cacharí y Chillar profundizan esas dificultades para los trabajadores domiciliados fuera de la ciudad de Azul.</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la falta de una oferta territorial suficiente afecta de manera más intensa a quienes trabajan por cuenta propia, a pequeños transportistas, contratistas rurales, productores, comerciantes y trabajadores que no cuentan con una empresa que absorba los costos o facilite los traslados.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la propia Circular Provincial N° 5/2026 reconoció la existencia de prestadores sin turnos disponibles en plazos razonables, datos de contacto desactualizados, canales de comunicación inoperantes, establecimientos que todavía no habían implementado completamente el procedimiento y demoras que afectaban los tiempos de obtención de las licencias.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frente a esas dificultades, la Disposición Provincial N° 10/2026 prorrogó por sesenta días las licencias emitidas en la Provincia de Buenos Aires cuyos vencimientos operaron u operen entre el 1° de julio y el 31 de agosto de 2026.</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la extensión de los vencimientos constituye una solución transitoria que no resuelve la falta de prestadores, los elevados costos ni la desigualdad territorial en el acceso al trámite.</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distintas publicaciones periodísticas dieron cuenta de trámites que pasaron de aproximadamente veinte mil o veintidós mil pesos ($22.000) a valores finales ubicados entre trescientos mil pesos ($300.000), según el prestador, la clase solicitada y los componentes incluidos.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esas comparaciones representarían aumentos superiores al mil doscientos por ciento (1200%) en determinados casos, sin que exista hasta el momento una tarifa única, un cuadro de valores de referencia o información pública suficiente para explicar las diferencias entre prestadores.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el fuerte incremento de los costos no se origina exclusivamente en las tasas nacionales, provinciales o municipales, sino fundamentalmente en los aranceles establecidos por los prestadores externos de capacitación y evaluación psicofísica.</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la ausencia de información detallada sobre la estructura de costos, la metodología utilizada para determinar los precios y los controles realizados impide verificar si los aranceles cumplen efectivamente con los principios de razonabilidad y proporcionalidad exigidos por la normativa nacional.</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 xml:space="preserve">Que la situación afecta a conductores de camiones, transportistas de cargas, choferes de colectivos, transportes escolares, taxis, </w:t>
      </w:r>
      <w:proofErr w:type="spellStart"/>
      <w:r w:rsidRPr="001D32AB">
        <w:t>remises</w:t>
      </w:r>
      <w:proofErr w:type="spellEnd"/>
      <w:r w:rsidRPr="001D32AB">
        <w:t>, ambulancias, servicios de emergencia, maquinaria especial y demás trabajadores que necesitan una licencia profesional para desarrollar sus actividades.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 xml:space="preserve">Que el régimen vigente no reproduce expresamente, con el mismo alcance, la obligación que contenía la normativa de la ex </w:t>
      </w:r>
      <w:proofErr w:type="spellStart"/>
      <w:r w:rsidRPr="001D32AB">
        <w:t>LiNTI</w:t>
      </w:r>
      <w:proofErr w:type="spellEnd"/>
      <w:r w:rsidRPr="001D32AB">
        <w:t xml:space="preserve"> respecto del pago del examen psicofísico por parte del empleador, por lo que resulta necesario aclarar quién debe afrontar actualmente cada componente del trámite cuando existe una relación laboral.</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también debe determinarse la vigencia y compatibilidad de las previsiones provinciales que asignan a los operadores determinados costos de capacitación y evaluación psicofísica en los servicios de transporte sometidos a jurisdicción bonaerense.</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la seguridad vial no puede garantizarse mediante un sistema que, por falta de planificación territorial, termine impidiendo o demorando injustificadamente el acceso de los trabajadores a las evaluaciones obligatorias.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los principios de juridicidad, razonabilidad, proporcionalidad, transparencia, simplificación administrativa, tutela efectiva y buena administración obligan a las autoridades a prevenir que la aplicación práctica de una reforma genere barreras económicas.</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corresponde al Estado Nacional, a través de la Agencia Nacional de Seguridad Vial, controlar a los prestadores, verificar los aranceles y garantizar el funcionamiento adecuado del registro.</w:t>
      </w:r>
    </w:p>
    <w:p w:rsidR="0093648D" w:rsidRPr="001D32AB" w:rsidRDefault="00C80F75" w:rsidP="001D32AB">
      <w:pPr>
        <w:pStyle w:val="Normal1"/>
        <w:pBdr>
          <w:top w:val="nil"/>
          <w:left w:val="nil"/>
          <w:bottom w:val="nil"/>
          <w:right w:val="nil"/>
          <w:between w:val="nil"/>
        </w:pBdr>
        <w:spacing w:line="360" w:lineRule="auto"/>
        <w:ind w:firstLine="850"/>
        <w:jc w:val="both"/>
      </w:pPr>
      <w:r w:rsidRPr="001D32AB">
        <w:t>Que corresponde al Gobierno de la Provincia de Buenos Aires, como parte del convenio de delegación y autoridad responsable de su implementación, adoptar las medidas necesarias para garantizar la cobertura territorial, fiscalizar el funcionamiento del sistema y proteger la continuidad laboral de los conductores.</w:t>
      </w:r>
    </w:p>
    <w:p w:rsidR="001D32AB" w:rsidRDefault="00C80F75" w:rsidP="001D32AB">
      <w:pPr>
        <w:pStyle w:val="Normal1"/>
        <w:pBdr>
          <w:top w:val="nil"/>
          <w:left w:val="nil"/>
          <w:bottom w:val="nil"/>
          <w:right w:val="nil"/>
          <w:between w:val="nil"/>
        </w:pBdr>
        <w:spacing w:line="360" w:lineRule="auto"/>
        <w:ind w:firstLine="850"/>
        <w:jc w:val="both"/>
      </w:pPr>
      <w:r w:rsidRPr="001D32AB">
        <w:t>Que resulta necesario contar con información que permita determinar las responsabilidades, evaluar la razonabilidad de los valores cobrados y promover soluciones inmediatas para los trabajadores afectados.</w:t>
      </w:r>
    </w:p>
    <w:p w:rsidR="00C80F75" w:rsidRPr="001D32AB" w:rsidRDefault="00C80F75" w:rsidP="001D32AB">
      <w:pPr>
        <w:pStyle w:val="Normal1"/>
        <w:pBdr>
          <w:top w:val="nil"/>
          <w:left w:val="nil"/>
          <w:bottom w:val="nil"/>
          <w:right w:val="nil"/>
          <w:between w:val="nil"/>
        </w:pBdr>
        <w:spacing w:line="360" w:lineRule="auto"/>
        <w:jc w:val="center"/>
      </w:pPr>
      <w:r w:rsidRPr="001D32AB">
        <w:rPr>
          <w:b/>
          <w:color w:val="141414"/>
        </w:rPr>
        <w:t>POR ELLO, tratado sobre tablas y aprobado por unanimidad</w:t>
      </w:r>
    </w:p>
    <w:p w:rsidR="00C80F75" w:rsidRPr="001D32AB" w:rsidRDefault="00C80F75" w:rsidP="001D32AB">
      <w:pPr>
        <w:spacing w:line="360" w:lineRule="auto"/>
        <w:jc w:val="center"/>
        <w:rPr>
          <w:b/>
          <w:color w:val="141414"/>
        </w:rPr>
      </w:pPr>
      <w:r w:rsidRPr="001D32AB">
        <w:rPr>
          <w:b/>
          <w:color w:val="141414"/>
        </w:rPr>
        <w:t>EL CONCEJO DELIBERANTE DEL PARTIDO DE AZUL</w:t>
      </w:r>
    </w:p>
    <w:p w:rsidR="00C80F75" w:rsidRPr="001D32AB" w:rsidRDefault="00C80F75" w:rsidP="001D32AB">
      <w:pPr>
        <w:spacing w:line="360" w:lineRule="auto"/>
        <w:jc w:val="center"/>
        <w:rPr>
          <w:color w:val="141414"/>
        </w:rPr>
      </w:pPr>
      <w:r w:rsidRPr="001D32AB">
        <w:rPr>
          <w:b/>
          <w:color w:val="141414"/>
        </w:rPr>
        <w:t>Acuerda y resuelve la siguiente</w:t>
      </w:r>
    </w:p>
    <w:p w:rsidR="00C80F75" w:rsidRPr="001D32AB" w:rsidRDefault="00C80F75" w:rsidP="001D32AB">
      <w:pPr>
        <w:spacing w:line="360" w:lineRule="auto"/>
        <w:jc w:val="center"/>
        <w:rPr>
          <w:b/>
          <w:color w:val="313131"/>
          <w:u w:val="single"/>
        </w:rPr>
      </w:pPr>
      <w:r w:rsidRPr="001D32AB">
        <w:rPr>
          <w:b/>
          <w:color w:val="141414"/>
          <w:u w:val="single"/>
        </w:rPr>
        <w:t>COMUNICACIÓN</w:t>
      </w:r>
    </w:p>
    <w:p w:rsidR="0093648D" w:rsidRPr="001D32AB" w:rsidRDefault="0093648D" w:rsidP="001D32AB">
      <w:pPr>
        <w:pStyle w:val="Normal1"/>
        <w:pBdr>
          <w:top w:val="nil"/>
          <w:left w:val="nil"/>
          <w:bottom w:val="nil"/>
          <w:right w:val="nil"/>
          <w:between w:val="nil"/>
        </w:pBdr>
        <w:spacing w:line="360" w:lineRule="auto"/>
        <w:ind w:firstLine="720"/>
        <w:jc w:val="center"/>
        <w:rPr>
          <w:b/>
          <w:bCs/>
          <w:u w:val="single"/>
        </w:rPr>
      </w:pPr>
    </w:p>
    <w:p w:rsidR="0093648D" w:rsidRPr="001D32AB" w:rsidRDefault="00C80F75" w:rsidP="001D32AB">
      <w:pPr>
        <w:pStyle w:val="Normal1"/>
        <w:spacing w:line="360" w:lineRule="auto"/>
        <w:jc w:val="both"/>
      </w:pPr>
      <w:r w:rsidRPr="001D32AB">
        <w:rPr>
          <w:b/>
          <w:bCs/>
          <w:u w:val="single"/>
        </w:rPr>
        <w:t xml:space="preserve">ARTÍCULO 1º.- </w:t>
      </w:r>
      <w:r w:rsidRPr="001D32AB">
        <w:t>SOLICÍTASE al Ministerio de Transporte de la Provincia de Buenos Aires y a la Agencia Nacional de Seguridad Vial que informe:</w:t>
      </w:r>
    </w:p>
    <w:p w:rsidR="0093648D" w:rsidRPr="001D32AB" w:rsidRDefault="00C80F75" w:rsidP="001D32AB">
      <w:pPr>
        <w:pStyle w:val="Normal1"/>
        <w:spacing w:line="360" w:lineRule="auto"/>
        <w:jc w:val="both"/>
      </w:pPr>
      <w:r w:rsidRPr="001D32AB">
        <w:t xml:space="preserve">a) Los motivos que derivan en un aumento del 1200% en el costo para tramitar, por los trabajadores profesionales del transporte, la licencia nacional de conducir </w:t>
      </w:r>
      <w:proofErr w:type="spellStart"/>
      <w:r w:rsidRPr="001D32AB">
        <w:t>interjurisdiccional</w:t>
      </w:r>
      <w:proofErr w:type="spellEnd"/>
      <w:r w:rsidRPr="001D32AB">
        <w:t xml:space="preserve"> para las categorías C1, C2, C3, D1 a D4, E1 y E2;</w:t>
      </w:r>
    </w:p>
    <w:p w:rsidR="0093648D" w:rsidRPr="001D32AB" w:rsidRDefault="00C80F75" w:rsidP="001D32AB">
      <w:pPr>
        <w:pStyle w:val="Normal1"/>
        <w:spacing w:line="360" w:lineRule="auto"/>
        <w:jc w:val="both"/>
      </w:pPr>
      <w:r w:rsidRPr="001D32AB">
        <w:t>b) Nómina de prestadores externos registrados para realizar la evaluación psicofísica y la capacitación y/o evaluación teórica-práctica de los trabajadores del transporte en la provincia y, particularmente, en el partido de Azul;</w:t>
      </w:r>
    </w:p>
    <w:p w:rsidR="0093648D" w:rsidRPr="001D32AB" w:rsidRDefault="00C80F75" w:rsidP="001D32AB">
      <w:pPr>
        <w:pStyle w:val="Normal1"/>
        <w:spacing w:line="360" w:lineRule="auto"/>
        <w:jc w:val="both"/>
      </w:pPr>
      <w:r w:rsidRPr="001D32AB">
        <w:t xml:space="preserve">d) Esquema de distribución de los importes que se abonen en concepto tasas y aranceles a cargo de los trabajadores profesionales del transporte durante el trámite de obtención y/o renovación de la licencia nacional de conducir </w:t>
      </w:r>
      <w:proofErr w:type="spellStart"/>
      <w:r w:rsidRPr="001D32AB">
        <w:t>interjurisdiccional</w:t>
      </w:r>
      <w:proofErr w:type="spellEnd"/>
      <w:r w:rsidRPr="001D32AB">
        <w:t>;</w:t>
      </w:r>
    </w:p>
    <w:p w:rsidR="0093648D" w:rsidRPr="001D32AB" w:rsidRDefault="00C80F75" w:rsidP="001D32AB">
      <w:pPr>
        <w:pStyle w:val="Normal1"/>
        <w:spacing w:line="360" w:lineRule="auto"/>
        <w:jc w:val="both"/>
      </w:pPr>
      <w:r w:rsidRPr="001D32AB">
        <w:t>e) Criterios utilizados para seleccionar, registrar, controlar y eventualmente excluir a los prestadores;</w:t>
      </w:r>
    </w:p>
    <w:p w:rsidR="0093648D" w:rsidRPr="001D32AB" w:rsidRDefault="00C80F75" w:rsidP="001D32AB">
      <w:pPr>
        <w:pStyle w:val="Normal1"/>
        <w:spacing w:line="360" w:lineRule="auto"/>
        <w:jc w:val="both"/>
      </w:pPr>
      <w:r w:rsidRPr="001D32AB">
        <w:t>f) Alcance de la obligación de los empleadores y operadores de transporte respecto del pago de los exámenes psicofísicos y las capacitaciones de los trabajadores en relación de dependencia.</w:t>
      </w:r>
    </w:p>
    <w:p w:rsidR="0093648D" w:rsidRPr="001D32AB" w:rsidRDefault="0093648D" w:rsidP="001D32AB">
      <w:pPr>
        <w:pStyle w:val="Normal1"/>
        <w:spacing w:line="360" w:lineRule="auto"/>
        <w:jc w:val="both"/>
      </w:pPr>
    </w:p>
    <w:p w:rsidR="00C80F75" w:rsidRPr="001D32AB" w:rsidRDefault="00C80F75" w:rsidP="001D32AB">
      <w:pPr>
        <w:spacing w:line="360" w:lineRule="auto"/>
        <w:jc w:val="both"/>
        <w:rPr>
          <w:color w:val="313131"/>
        </w:rPr>
      </w:pPr>
      <w:r w:rsidRPr="001D32AB">
        <w:rPr>
          <w:b/>
          <w:bCs/>
          <w:u w:val="single"/>
        </w:rPr>
        <w:t>ARTÍCULO 2°.-</w:t>
      </w:r>
      <w:r w:rsidRPr="001D32AB">
        <w:rPr>
          <w:color w:val="313131"/>
        </w:rPr>
        <w:t xml:space="preserve"> COMUNÍCASE al Departamento Ejecutivo.</w:t>
      </w:r>
    </w:p>
    <w:p w:rsidR="00C80F75" w:rsidRPr="001D32AB" w:rsidRDefault="00C80F75" w:rsidP="001D32AB">
      <w:pPr>
        <w:spacing w:line="360" w:lineRule="auto"/>
        <w:ind w:left="1560"/>
        <w:jc w:val="both"/>
        <w:rPr>
          <w:color w:val="313131"/>
        </w:rPr>
      </w:pPr>
      <w:r w:rsidRPr="001D32AB">
        <w:rPr>
          <w:color w:val="313131"/>
        </w:rPr>
        <w:t>DADA en la Sala de Sesiones del Concejo Deliberante del partido de Azul, en la ciudad de Azul, provincia de Buenos Aires, a los veintitrés días del mes de julio de dos mil veintiséis.</w:t>
      </w:r>
    </w:p>
    <w:p w:rsidR="0093648D" w:rsidRPr="001D32AB" w:rsidRDefault="00C044D0" w:rsidP="001D32AB">
      <w:pPr>
        <w:pStyle w:val="Normal1"/>
        <w:spacing w:line="360" w:lineRule="auto"/>
        <w:jc w:val="both"/>
        <w:rPr>
          <w:rFonts w:eastAsia="Roboto"/>
          <w:color w:val="000000"/>
        </w:rPr>
      </w:pPr>
      <w:r w:rsidRPr="00C044D0">
        <w:rPr>
          <w:rFonts w:eastAsia="Times New Roman" w:cs="Times New Roman"/>
          <w:szCs w:val="20"/>
          <w:lang w:val="es-ES"/>
        </w:rPr>
        <w:t>2</w:t>
      </w:r>
      <w:r>
        <w:rPr>
          <w:rFonts w:eastAsia="Times New Roman" w:cs="Times New Roman"/>
          <w:szCs w:val="20"/>
          <w:lang w:val="es-ES"/>
        </w:rPr>
        <w:t>7</w:t>
      </w:r>
      <w:bookmarkStart w:id="0" w:name="_GoBack"/>
      <w:bookmarkEnd w:id="0"/>
      <w:r w:rsidRPr="00C044D0">
        <w:rPr>
          <w:rFonts w:eastAsia="Times New Roman" w:cs="Times New Roman"/>
          <w:szCs w:val="20"/>
          <w:lang w:val="es-ES"/>
        </w:rPr>
        <w:t>/07/2026.-uem.</w:t>
      </w:r>
    </w:p>
    <w:sectPr w:rsidR="0093648D" w:rsidRPr="001D32AB" w:rsidSect="001D32AB">
      <w:pgSz w:w="12240" w:h="20160"/>
      <w:pgMar w:top="3686" w:right="851" w:bottom="3119" w:left="2835"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0F9AF59F-4AC1-429A-8222-0AD212900AE3}"/>
  </w:font>
  <w:font w:name="Roboto">
    <w:charset w:val="00"/>
    <w:family w:val="auto"/>
    <w:pitch w:val="default"/>
    <w:embedRegular r:id="rId2" w:fontKey="{57ECFD42-15EC-4B92-A3EA-7AD19AC8EDA6}"/>
  </w:font>
  <w:font w:name="Calibri">
    <w:panose1 w:val="020F0502020204030204"/>
    <w:charset w:val="00"/>
    <w:family w:val="swiss"/>
    <w:pitch w:val="variable"/>
    <w:sig w:usb0="E0002AFF" w:usb1="4000ACFF" w:usb2="00000001" w:usb3="00000000" w:csb0="000001FF" w:csb1="00000000"/>
    <w:embedRegular r:id="rId3" w:fontKey="{93F4CA0E-E4C7-47E2-ABAB-A62FEFDAB873}"/>
  </w:font>
  <w:font w:name="Cambria">
    <w:panose1 w:val="02040503050406030204"/>
    <w:charset w:val="00"/>
    <w:family w:val="roman"/>
    <w:pitch w:val="variable"/>
    <w:sig w:usb0="E00006FF" w:usb1="420024FF" w:usb2="02000000" w:usb3="00000000" w:csb0="0000019F" w:csb1="00000000"/>
    <w:embedRegular r:id="rId4" w:fontKey="{B4805FCA-55A2-488F-83B6-2AE9D8E1393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mirrorMargins/>
  <w:proofState w:spelling="clean" w:grammar="clean"/>
  <w:defaultTabStop w:val="720"/>
  <w:hyphenationZone w:val="425"/>
  <w:drawingGridHorizontalSpacing w:val="110"/>
  <w:displayHorizontalDrawingGridEvery w:val="2"/>
  <w:characterSpacingControl w:val="doNotCompress"/>
  <w:compat>
    <w:compatSetting w:name="compatibilityMode" w:uri="http://schemas.microsoft.com/office/word" w:val="12"/>
  </w:compat>
  <w:rsids>
    <w:rsidRoot w:val="0093648D"/>
    <w:rsid w:val="001D32AB"/>
    <w:rsid w:val="0093648D"/>
    <w:rsid w:val="00940AAF"/>
    <w:rsid w:val="00C044D0"/>
    <w:rsid w:val="00C80F7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9FB0C"/>
  <w15:docId w15:val="{DA44DDAE-D736-4C99-B7E9-9A86136D3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AR" w:eastAsia="es-A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rsid w:val="0093648D"/>
    <w:pPr>
      <w:keepNext/>
      <w:keepLines/>
      <w:pBdr>
        <w:top w:val="nil"/>
        <w:left w:val="nil"/>
        <w:bottom w:val="nil"/>
        <w:right w:val="nil"/>
        <w:between w:val="nil"/>
      </w:pBdr>
      <w:spacing w:before="400" w:after="120"/>
      <w:outlineLvl w:val="0"/>
    </w:pPr>
    <w:rPr>
      <w:color w:val="000000"/>
      <w:sz w:val="40"/>
      <w:szCs w:val="40"/>
    </w:rPr>
  </w:style>
  <w:style w:type="paragraph" w:styleId="Ttulo2">
    <w:name w:val="heading 2"/>
    <w:basedOn w:val="Normal1"/>
    <w:next w:val="Normal1"/>
    <w:rsid w:val="0093648D"/>
    <w:pPr>
      <w:keepNext/>
      <w:keepLines/>
      <w:pBdr>
        <w:top w:val="nil"/>
        <w:left w:val="nil"/>
        <w:bottom w:val="nil"/>
        <w:right w:val="nil"/>
        <w:between w:val="nil"/>
      </w:pBdr>
      <w:spacing w:before="360" w:after="120"/>
      <w:outlineLvl w:val="1"/>
    </w:pPr>
    <w:rPr>
      <w:color w:val="000000"/>
      <w:sz w:val="32"/>
      <w:szCs w:val="32"/>
    </w:rPr>
  </w:style>
  <w:style w:type="paragraph" w:styleId="Ttulo3">
    <w:name w:val="heading 3"/>
    <w:basedOn w:val="Normal1"/>
    <w:next w:val="Normal1"/>
    <w:rsid w:val="0093648D"/>
    <w:pPr>
      <w:keepNext/>
      <w:keepLines/>
      <w:pBdr>
        <w:top w:val="nil"/>
        <w:left w:val="nil"/>
        <w:bottom w:val="nil"/>
        <w:right w:val="nil"/>
        <w:between w:val="nil"/>
      </w:pBdr>
      <w:spacing w:before="320" w:after="80"/>
      <w:outlineLvl w:val="2"/>
    </w:pPr>
    <w:rPr>
      <w:color w:val="434343"/>
      <w:sz w:val="28"/>
      <w:szCs w:val="28"/>
    </w:rPr>
  </w:style>
  <w:style w:type="paragraph" w:styleId="Ttulo4">
    <w:name w:val="heading 4"/>
    <w:basedOn w:val="Normal1"/>
    <w:next w:val="Normal1"/>
    <w:rsid w:val="0093648D"/>
    <w:pPr>
      <w:keepNext/>
      <w:keepLines/>
      <w:pBdr>
        <w:top w:val="nil"/>
        <w:left w:val="nil"/>
        <w:bottom w:val="nil"/>
        <w:right w:val="nil"/>
        <w:between w:val="nil"/>
      </w:pBdr>
      <w:spacing w:before="280" w:after="80"/>
      <w:outlineLvl w:val="3"/>
    </w:pPr>
    <w:rPr>
      <w:color w:val="666666"/>
      <w:sz w:val="24"/>
      <w:szCs w:val="24"/>
    </w:rPr>
  </w:style>
  <w:style w:type="paragraph" w:styleId="Ttulo5">
    <w:name w:val="heading 5"/>
    <w:basedOn w:val="Normal1"/>
    <w:next w:val="Normal1"/>
    <w:rsid w:val="0093648D"/>
    <w:pPr>
      <w:keepNext/>
      <w:keepLines/>
      <w:pBdr>
        <w:top w:val="nil"/>
        <w:left w:val="nil"/>
        <w:bottom w:val="nil"/>
        <w:right w:val="nil"/>
        <w:between w:val="nil"/>
      </w:pBdr>
      <w:spacing w:before="240" w:after="80"/>
      <w:outlineLvl w:val="4"/>
    </w:pPr>
    <w:rPr>
      <w:color w:val="666666"/>
    </w:rPr>
  </w:style>
  <w:style w:type="paragraph" w:styleId="Ttulo6">
    <w:name w:val="heading 6"/>
    <w:basedOn w:val="Normal1"/>
    <w:next w:val="Normal1"/>
    <w:rsid w:val="0093648D"/>
    <w:pPr>
      <w:keepNext/>
      <w:keepLines/>
      <w:pBdr>
        <w:top w:val="nil"/>
        <w:left w:val="nil"/>
        <w:bottom w:val="nil"/>
        <w:right w:val="nil"/>
        <w:between w:val="nil"/>
      </w:pBdr>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rsid w:val="0093648D"/>
    <w:tblPr>
      <w:tblCellMar>
        <w:top w:w="100" w:type="dxa"/>
        <w:left w:w="100" w:type="dxa"/>
        <w:bottom w:w="100" w:type="dxa"/>
        <w:right w:w="100" w:type="dxa"/>
      </w:tblCellMar>
    </w:tblPr>
  </w:style>
  <w:style w:type="paragraph" w:customStyle="1" w:styleId="Normal1">
    <w:name w:val="Normal1"/>
    <w:rsid w:val="0093648D"/>
  </w:style>
  <w:style w:type="paragraph" w:styleId="Ttulo">
    <w:name w:val="Title"/>
    <w:basedOn w:val="Normal1"/>
    <w:next w:val="Normal1"/>
    <w:rsid w:val="0093648D"/>
    <w:pPr>
      <w:keepNext/>
      <w:keepLines/>
      <w:pBdr>
        <w:top w:val="nil"/>
        <w:left w:val="nil"/>
        <w:bottom w:val="nil"/>
        <w:right w:val="nil"/>
        <w:between w:val="nil"/>
      </w:pBdr>
      <w:spacing w:after="60"/>
    </w:pPr>
    <w:rPr>
      <w:color w:val="000000"/>
      <w:sz w:val="52"/>
      <w:szCs w:val="52"/>
    </w:rPr>
  </w:style>
  <w:style w:type="paragraph" w:styleId="Subttulo">
    <w:name w:val="Subtitle"/>
    <w:basedOn w:val="Normal1"/>
    <w:next w:val="Normal1"/>
    <w:rsid w:val="0093648D"/>
    <w:pPr>
      <w:keepNext/>
      <w:keepLines/>
      <w:pBdr>
        <w:top w:val="nil"/>
        <w:left w:val="nil"/>
        <w:bottom w:val="nil"/>
        <w:right w:val="nil"/>
        <w:between w:val="nil"/>
      </w:pBdr>
      <w:spacing w:after="320"/>
    </w:pPr>
    <w:rPr>
      <w:color w:val="666666"/>
      <w:sz w:val="30"/>
      <w:szCs w:val="30"/>
    </w:rPr>
  </w:style>
  <w:style w:type="paragraph" w:styleId="Textodeglobo">
    <w:name w:val="Balloon Text"/>
    <w:basedOn w:val="Normal"/>
    <w:link w:val="TextodegloboCar"/>
    <w:uiPriority w:val="99"/>
    <w:semiHidden/>
    <w:unhideWhenUsed/>
    <w:rsid w:val="00C044D0"/>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44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xWqq7fOni4cPsEcucjtdmNXueQ==">CgMxLjA4AHIhMVRTVnZQLWpKakRGc1diSXZLemI4bi1VajhyanVSV0xC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6</Pages>
  <Words>2108</Words>
  <Characters>12016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14096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montanelliu</cp:lastModifiedBy>
  <cp:revision>3</cp:revision>
  <cp:lastPrinted>2026-07-27T15:58:00Z</cp:lastPrinted>
  <dcterms:created xsi:type="dcterms:W3CDTF">2026-07-27T13:56:00Z</dcterms:created>
  <dcterms:modified xsi:type="dcterms:W3CDTF">2026-07-27T16:03:00Z</dcterms:modified>
</cp:coreProperties>
</file>